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20" w:rsidRDefault="00AD0820" w:rsidP="00AD0820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t>Прило</w:t>
      </w:r>
      <w:r w:rsidRPr="008F56FC">
        <w:rPr>
          <w:b/>
        </w:rPr>
        <w:t>жение 1</w:t>
      </w:r>
    </w:p>
    <w:p w:rsidR="00AD0820" w:rsidRPr="008F56FC" w:rsidRDefault="00AD0820" w:rsidP="00AD0820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t>К Постановлению №119 от 15.10.2015 г.</w:t>
      </w:r>
    </w:p>
    <w:p w:rsidR="00AD0820" w:rsidRDefault="00AD0820" w:rsidP="00AD0820">
      <w:pPr>
        <w:ind w:firstLine="539"/>
        <w:jc w:val="center"/>
        <w:rPr>
          <w:b/>
          <w:sz w:val="28"/>
          <w:szCs w:val="28"/>
        </w:rPr>
      </w:pPr>
    </w:p>
    <w:p w:rsidR="00AD0820" w:rsidRPr="00B6579E" w:rsidRDefault="00AD0820" w:rsidP="00AD0820">
      <w:pPr>
        <w:ind w:firstLine="539"/>
        <w:jc w:val="center"/>
        <w:rPr>
          <w:b/>
          <w:sz w:val="26"/>
          <w:szCs w:val="26"/>
        </w:rPr>
      </w:pPr>
      <w:r w:rsidRPr="00B6579E">
        <w:rPr>
          <w:b/>
          <w:sz w:val="26"/>
          <w:szCs w:val="26"/>
        </w:rPr>
        <w:t xml:space="preserve">ПРОГНОЗ </w:t>
      </w:r>
    </w:p>
    <w:p w:rsidR="00AD0820" w:rsidRDefault="00AD0820" w:rsidP="00AD0820">
      <w:pPr>
        <w:ind w:firstLine="539"/>
        <w:jc w:val="center"/>
        <w:rPr>
          <w:b/>
          <w:bCs/>
          <w:color w:val="332E2D"/>
          <w:spacing w:val="2"/>
          <w:sz w:val="26"/>
          <w:szCs w:val="26"/>
        </w:rPr>
      </w:pPr>
      <w:r w:rsidRPr="00B6579E">
        <w:rPr>
          <w:b/>
          <w:sz w:val="26"/>
          <w:szCs w:val="26"/>
        </w:rPr>
        <w:t xml:space="preserve">социально-экономического развития </w:t>
      </w:r>
      <w:r w:rsidRPr="00B6579E">
        <w:rPr>
          <w:b/>
          <w:sz w:val="26"/>
          <w:szCs w:val="26"/>
        </w:rPr>
        <w:br/>
        <w:t xml:space="preserve">муниципального образования «Приморско-Куйский сельсовет» </w:t>
      </w:r>
      <w:r w:rsidRPr="00B6579E">
        <w:rPr>
          <w:b/>
          <w:sz w:val="26"/>
          <w:szCs w:val="26"/>
        </w:rPr>
        <w:br/>
        <w:t xml:space="preserve">Ненецкого автономного округа  </w:t>
      </w:r>
      <w:r w:rsidRPr="00B6579E">
        <w:rPr>
          <w:b/>
          <w:bCs/>
          <w:color w:val="332E2D"/>
          <w:spacing w:val="2"/>
          <w:sz w:val="26"/>
          <w:szCs w:val="26"/>
        </w:rPr>
        <w:t>на 2016 год и плановый период 2017 и 2018 годов</w:t>
      </w:r>
    </w:p>
    <w:p w:rsidR="00AD0820" w:rsidRPr="00B6579E" w:rsidRDefault="00AD0820" w:rsidP="00AD0820">
      <w:pPr>
        <w:ind w:firstLine="539"/>
        <w:jc w:val="center"/>
        <w:rPr>
          <w:b/>
          <w:sz w:val="26"/>
          <w:szCs w:val="26"/>
        </w:rPr>
      </w:pP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Прогноз социально-экономического развития муниципального образования «Приморско-Куйский сельсовет» Ненецкого автономного округа разработан на основе сценарных условий социально-экономического развития Российской Федерации на 201</w:t>
      </w:r>
      <w:r>
        <w:t>6</w:t>
      </w:r>
      <w:r w:rsidRPr="00FB1EA2">
        <w:t xml:space="preserve"> год и плановый период</w:t>
      </w:r>
      <w:r>
        <w:t xml:space="preserve"> 2017 и</w:t>
      </w:r>
      <w:r w:rsidRPr="00FB1EA2">
        <w:t xml:space="preserve"> 201</w:t>
      </w:r>
      <w:r>
        <w:t>8</w:t>
      </w:r>
      <w:r w:rsidRPr="00FB1EA2">
        <w:t xml:space="preserve"> год</w:t>
      </w:r>
      <w:r>
        <w:t>ов</w:t>
      </w:r>
      <w:r w:rsidRPr="00FB1EA2">
        <w:t xml:space="preserve"> с учетом анализа социально-экономического развития Ненецкого автономного округа</w:t>
      </w:r>
      <w:r>
        <w:t xml:space="preserve"> </w:t>
      </w:r>
      <w:r w:rsidRPr="00FB1EA2">
        <w:t>за 201</w:t>
      </w:r>
      <w:r>
        <w:t>4</w:t>
      </w:r>
      <w:r w:rsidRPr="00FB1EA2">
        <w:t xml:space="preserve"> год и 9 месяцев 201</w:t>
      </w:r>
      <w:r>
        <w:t>5</w:t>
      </w:r>
      <w:r w:rsidRPr="00FB1EA2">
        <w:t xml:space="preserve"> года,</w:t>
      </w:r>
      <w:r>
        <w:t xml:space="preserve"> </w:t>
      </w:r>
      <w:r>
        <w:rPr>
          <w:spacing w:val="1"/>
        </w:rPr>
        <w:t>с учетом индексов дефляторов, разработанных Министерством экономического развития Российской Федерации,</w:t>
      </w:r>
      <w:r w:rsidRPr="00FB1EA2">
        <w:t xml:space="preserve"> ожидаемых результатов развития муниципального образования  в 201</w:t>
      </w:r>
      <w:r>
        <w:t>5</w:t>
      </w:r>
      <w:r w:rsidRPr="00FB1EA2">
        <w:t xml:space="preserve"> году и прогнозов, представленных предприятиями, основными направлениями налоговой и бюджетной политики муниципального образования «Приморско-Куйский сельсовет» Ненецкого автономного округа. 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Бюджетная политика должна формироваться исходя из необходимости улучшения качества жизни населения,  повышения эффективности и прозрачности управ</w:t>
      </w:r>
      <w:r>
        <w:t>л</w:t>
      </w:r>
      <w:r w:rsidRPr="00FB1EA2">
        <w:t>ения бюджетными средствами.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 xml:space="preserve"> </w:t>
      </w:r>
      <w:r>
        <w:t>Ориентация бюджетных расходов будет со</w:t>
      </w:r>
      <w:r w:rsidRPr="00FB1EA2">
        <w:t xml:space="preserve">ответствовать решению задач в первую очередь в сфере </w:t>
      </w:r>
      <w:r>
        <w:t>ЖКХ, благоустройства территории сельского поселения (организация благоустройства)</w:t>
      </w:r>
      <w:r w:rsidRPr="00FB1EA2">
        <w:t>,</w:t>
      </w:r>
      <w:r>
        <w:t xml:space="preserve"> социальной политики, а так же в части организации проведения официальных физкультурно-оздоровительных и спортивных мероприятий поселения,</w:t>
      </w:r>
      <w:r w:rsidRPr="00FB1EA2">
        <w:t xml:space="preserve"> молодежной политики.</w:t>
      </w:r>
    </w:p>
    <w:p w:rsidR="00AD0820" w:rsidRDefault="00AD0820" w:rsidP="00AD0820">
      <w:pPr>
        <w:spacing w:line="360" w:lineRule="auto"/>
        <w:ind w:firstLine="539"/>
        <w:jc w:val="both"/>
      </w:pPr>
      <w:r>
        <w:t>Необходимо</w:t>
      </w:r>
      <w:r w:rsidRPr="00FB1EA2">
        <w:t xml:space="preserve"> внедрение с 201</w:t>
      </w:r>
      <w:r>
        <w:t>6</w:t>
      </w:r>
      <w:r w:rsidRPr="00FB1EA2">
        <w:t xml:space="preserve"> года программно-целевого принципа организации деятельности органов исполнительной власти</w:t>
      </w:r>
      <w:r>
        <w:t xml:space="preserve"> поселения</w:t>
      </w:r>
      <w:r w:rsidRPr="00FB1EA2">
        <w:t xml:space="preserve">, в </w:t>
      </w:r>
      <w:r>
        <w:t>связи с чем</w:t>
      </w:r>
      <w:r w:rsidRPr="00FB1EA2">
        <w:t xml:space="preserve"> </w:t>
      </w:r>
      <w:r>
        <w:t xml:space="preserve">рекомендуется </w:t>
      </w:r>
      <w:r w:rsidRPr="00FB1EA2">
        <w:t>утвердить основные муниципальные</w:t>
      </w:r>
      <w:r>
        <w:t xml:space="preserve"> </w:t>
      </w:r>
      <w:r w:rsidRPr="00FB1EA2">
        <w:t>программы.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Рассматриваемый вариант прогноза, предлагаемый для раз</w:t>
      </w:r>
      <w:r>
        <w:t>работки местного бюджета на 2016</w:t>
      </w:r>
      <w:r w:rsidRPr="00FB1EA2">
        <w:t xml:space="preserve"> год, умеренно оптимистичный.</w:t>
      </w:r>
    </w:p>
    <w:p w:rsidR="00AD0820" w:rsidRDefault="00AD0820" w:rsidP="00AD082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AD0820" w:rsidRDefault="00AD0820" w:rsidP="00AD082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AD0820" w:rsidRDefault="00AD0820" w:rsidP="00AD082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AD0820" w:rsidRPr="00DF5A79" w:rsidRDefault="00AD0820" w:rsidP="00AD0820">
      <w:pPr>
        <w:spacing w:line="360" w:lineRule="auto"/>
        <w:ind w:firstLine="539"/>
        <w:jc w:val="center"/>
        <w:rPr>
          <w:b/>
          <w:sz w:val="26"/>
          <w:szCs w:val="26"/>
        </w:rPr>
      </w:pPr>
      <w:r w:rsidRPr="00DF5A79">
        <w:rPr>
          <w:b/>
          <w:sz w:val="26"/>
          <w:szCs w:val="26"/>
        </w:rPr>
        <w:t>1. Финансовые ресурсы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>
        <w:lastRenderedPageBreak/>
        <w:t>С</w:t>
      </w:r>
      <w:r w:rsidRPr="00FB1EA2">
        <w:t>умма налоговых и неналоговых поступлений в 201</w:t>
      </w:r>
      <w:r>
        <w:t>5</w:t>
      </w:r>
      <w:r w:rsidRPr="00FB1EA2">
        <w:t xml:space="preserve"> году составит </w:t>
      </w:r>
      <w:r>
        <w:rPr>
          <w:b/>
        </w:rPr>
        <w:t>5,9</w:t>
      </w:r>
      <w:r>
        <w:t xml:space="preserve"> млн.</w:t>
      </w:r>
      <w:r w:rsidRPr="00FB1EA2">
        <w:t>руб. (</w:t>
      </w:r>
      <w:r>
        <w:t>уменьшение</w:t>
      </w:r>
      <w:r w:rsidRPr="00FB1EA2">
        <w:t xml:space="preserve"> на </w:t>
      </w:r>
      <w:r w:rsidRPr="00285C09">
        <w:rPr>
          <w:b/>
        </w:rPr>
        <w:t>32,1</w:t>
      </w:r>
      <w:r w:rsidRPr="00FB1EA2">
        <w:t xml:space="preserve"> % к уровню 201</w:t>
      </w:r>
      <w:r>
        <w:t>4</w:t>
      </w:r>
      <w:r w:rsidRPr="00FB1EA2">
        <w:t xml:space="preserve"> года)</w:t>
      </w:r>
      <w:r>
        <w:t>,</w:t>
      </w:r>
      <w:r w:rsidRPr="00FB1EA2">
        <w:t xml:space="preserve"> сумма налоговых поступлений собираемых на территории поселения составит </w:t>
      </w:r>
      <w:r>
        <w:rPr>
          <w:b/>
        </w:rPr>
        <w:t>3,6</w:t>
      </w:r>
      <w:r w:rsidRPr="00FB1EA2">
        <w:t xml:space="preserve"> млн.руб.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В 201</w:t>
      </w:r>
      <w:r>
        <w:t>6</w:t>
      </w:r>
      <w:r w:rsidRPr="00FB1EA2">
        <w:t xml:space="preserve"> году сумма налоговых и неналоговых поступлений по прогнозным данным составит </w:t>
      </w:r>
      <w:r>
        <w:rPr>
          <w:b/>
        </w:rPr>
        <w:t>5,6</w:t>
      </w:r>
      <w:r w:rsidRPr="00FB1EA2">
        <w:t xml:space="preserve"> млн.руб. (</w:t>
      </w:r>
      <w:r w:rsidRPr="00285C09">
        <w:rPr>
          <w:b/>
        </w:rPr>
        <w:t>94,9</w:t>
      </w:r>
      <w:r w:rsidRPr="00FB1EA2">
        <w:t xml:space="preserve"> % к уровню 201</w:t>
      </w:r>
      <w:r>
        <w:t>5</w:t>
      </w:r>
      <w:r w:rsidRPr="00FB1EA2">
        <w:t xml:space="preserve"> года)., из них сумма налоговых поступлений </w:t>
      </w:r>
      <w:r w:rsidRPr="00285C09">
        <w:rPr>
          <w:b/>
        </w:rPr>
        <w:t>3,4</w:t>
      </w:r>
      <w:r w:rsidRPr="00FB1EA2">
        <w:t xml:space="preserve"> млн.руб.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В 201</w:t>
      </w:r>
      <w:r>
        <w:t>7</w:t>
      </w:r>
      <w:r w:rsidRPr="00FB1EA2">
        <w:t xml:space="preserve"> году сумма налоговых и неналоговых поступлений по прогнозным данным составит порядка </w:t>
      </w:r>
      <w:r>
        <w:t>5,5</w:t>
      </w:r>
      <w:r w:rsidRPr="00FB1EA2">
        <w:t xml:space="preserve"> млн.</w:t>
      </w:r>
      <w:r>
        <w:t xml:space="preserve"> </w:t>
      </w:r>
      <w:r w:rsidRPr="00FB1EA2">
        <w:t>руб. (</w:t>
      </w:r>
      <w:r>
        <w:t xml:space="preserve">уменьшение на </w:t>
      </w:r>
      <w:r w:rsidRPr="00067D77">
        <w:rPr>
          <w:b/>
        </w:rPr>
        <w:t>1,</w:t>
      </w:r>
      <w:r w:rsidRPr="00FA021E">
        <w:rPr>
          <w:b/>
        </w:rPr>
        <w:t>8</w:t>
      </w:r>
      <w:r>
        <w:t xml:space="preserve"> </w:t>
      </w:r>
      <w:r w:rsidRPr="00FB1EA2">
        <w:t>% к уровню 201</w:t>
      </w:r>
      <w:r>
        <w:t>6</w:t>
      </w:r>
      <w:r w:rsidRPr="00FB1EA2">
        <w:t xml:space="preserve"> года). Сумма налоговых поступлений, собираемых на территории поселения </w:t>
      </w:r>
      <w:r>
        <w:t>увеличится</w:t>
      </w:r>
      <w:r w:rsidRPr="00FB1EA2">
        <w:t xml:space="preserve"> на </w:t>
      </w:r>
      <w:r w:rsidRPr="00067D77">
        <w:rPr>
          <w:b/>
        </w:rPr>
        <w:t>2,9</w:t>
      </w:r>
      <w:r w:rsidRPr="00FB1EA2">
        <w:t xml:space="preserve"> % и составит </w:t>
      </w:r>
      <w:r>
        <w:rPr>
          <w:b/>
        </w:rPr>
        <w:t>3,5</w:t>
      </w:r>
      <w:r w:rsidRPr="00FB1EA2">
        <w:t xml:space="preserve"> млн.</w:t>
      </w:r>
      <w:r>
        <w:t xml:space="preserve"> </w:t>
      </w:r>
      <w:r w:rsidRPr="00FB1EA2">
        <w:t>руб.</w:t>
      </w:r>
      <w:r>
        <w:t xml:space="preserve"> 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В 201</w:t>
      </w:r>
      <w:r>
        <w:t>8</w:t>
      </w:r>
      <w:r w:rsidRPr="00FB1EA2">
        <w:t xml:space="preserve"> году сумма налоговых и неналоговых поступлений по прогнозным данным </w:t>
      </w:r>
      <w:r>
        <w:t>будет составлять</w:t>
      </w:r>
      <w:r w:rsidRPr="00FB1EA2">
        <w:t xml:space="preserve"> </w:t>
      </w:r>
      <w:r>
        <w:t>5,6</w:t>
      </w:r>
      <w:r w:rsidRPr="00FB1EA2">
        <w:t xml:space="preserve"> млн.</w:t>
      </w:r>
      <w:r>
        <w:t xml:space="preserve"> </w:t>
      </w:r>
      <w:r w:rsidRPr="00FB1EA2">
        <w:t>руб. (</w:t>
      </w:r>
      <w:r>
        <w:t xml:space="preserve">увеличение на </w:t>
      </w:r>
      <w:r w:rsidRPr="00067D77">
        <w:rPr>
          <w:b/>
        </w:rPr>
        <w:t>1,</w:t>
      </w:r>
      <w:r w:rsidRPr="00FA021E">
        <w:rPr>
          <w:b/>
        </w:rPr>
        <w:t>8</w:t>
      </w:r>
      <w:r>
        <w:t xml:space="preserve"> </w:t>
      </w:r>
      <w:r w:rsidRPr="00FB1EA2">
        <w:t>% к уровню 201</w:t>
      </w:r>
      <w:r>
        <w:t>7</w:t>
      </w:r>
      <w:r w:rsidRPr="00FB1EA2">
        <w:t xml:space="preserve"> года). Сумма налоговых поступлений, собираемых на территории поселения </w:t>
      </w:r>
      <w:r>
        <w:t>увеличится</w:t>
      </w:r>
      <w:r w:rsidRPr="00FB1EA2">
        <w:t xml:space="preserve"> на </w:t>
      </w:r>
      <w:r w:rsidRPr="00067D77">
        <w:rPr>
          <w:b/>
        </w:rPr>
        <w:t>2,9</w:t>
      </w:r>
      <w:r w:rsidRPr="00FB1EA2">
        <w:t xml:space="preserve"> % и составит </w:t>
      </w:r>
      <w:r>
        <w:rPr>
          <w:b/>
        </w:rPr>
        <w:t>3,6</w:t>
      </w:r>
      <w:r w:rsidRPr="00FB1EA2">
        <w:t xml:space="preserve"> млн.руб</w:t>
      </w:r>
      <w:r>
        <w:t>.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Состояние доходной и расходной частей бюджета характер</w:t>
      </w:r>
      <w:r>
        <w:t>изуется следующими показателями: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Планируемые доходы местного бюджета в 201</w:t>
      </w:r>
      <w:r>
        <w:t>5</w:t>
      </w:r>
      <w:r w:rsidRPr="00FB1EA2">
        <w:t xml:space="preserve"> году вы</w:t>
      </w:r>
      <w:r>
        <w:t>ше первоначального плана на 2015</w:t>
      </w:r>
      <w:r w:rsidRPr="00FB1EA2">
        <w:t xml:space="preserve"> год на </w:t>
      </w:r>
      <w:r>
        <w:t>55,5</w:t>
      </w:r>
      <w:r w:rsidRPr="00FB1EA2">
        <w:t xml:space="preserve"> % и составляют </w:t>
      </w:r>
      <w:r>
        <w:rPr>
          <w:b/>
        </w:rPr>
        <w:t>71,983</w:t>
      </w:r>
      <w:r w:rsidRPr="00FB1EA2">
        <w:t xml:space="preserve"> млн. руб. По сравнению с 201</w:t>
      </w:r>
      <w:r>
        <w:t>4 годом в 2015</w:t>
      </w:r>
      <w:r w:rsidRPr="00FB1EA2">
        <w:t xml:space="preserve"> году идет </w:t>
      </w:r>
      <w:r>
        <w:t>уменьшение</w:t>
      </w:r>
      <w:r w:rsidRPr="00FB1EA2">
        <w:t xml:space="preserve"> размеров межбюджетных трансфертов </w:t>
      </w:r>
      <w:r>
        <w:t xml:space="preserve">в части дотации из окружного бюджета в виду вступления в силу Закона НАО № 95-ОЗ </w:t>
      </w:r>
      <w:r w:rsidRPr="001B38EC">
        <w:t>от 19.09.2014г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</w:t>
      </w:r>
      <w:r>
        <w:t>. В 2015 году аналогично сокращены объемы межбюджетных трансфертов в виде субвенций и субсидий.</w:t>
      </w:r>
    </w:p>
    <w:p w:rsidR="00AD0820" w:rsidRDefault="00AD0820" w:rsidP="00AD0820">
      <w:pPr>
        <w:spacing w:line="360" w:lineRule="auto"/>
        <w:ind w:firstLine="539"/>
        <w:jc w:val="both"/>
        <w:rPr>
          <w:spacing w:val="-3"/>
        </w:rPr>
      </w:pPr>
      <w:r>
        <w:t xml:space="preserve">Уменьшение поступлений от </w:t>
      </w:r>
      <w:r w:rsidRPr="00FB1EA2">
        <w:t>налоговы</w:t>
      </w:r>
      <w:r>
        <w:t>х</w:t>
      </w:r>
      <w:r w:rsidRPr="00FB1EA2">
        <w:t xml:space="preserve"> доход</w:t>
      </w:r>
      <w:r>
        <w:t>ов</w:t>
      </w:r>
      <w:r w:rsidRPr="00FB1EA2">
        <w:t xml:space="preserve"> по сравнению с исполнением за 201</w:t>
      </w:r>
      <w:r>
        <w:t>4</w:t>
      </w:r>
      <w:r w:rsidRPr="00FB1EA2">
        <w:t xml:space="preserve"> год </w:t>
      </w:r>
      <w:r>
        <w:t xml:space="preserve">составит в сумме </w:t>
      </w:r>
      <w:r>
        <w:rPr>
          <w:b/>
        </w:rPr>
        <w:t xml:space="preserve">2,0 </w:t>
      </w:r>
      <w:r w:rsidRPr="00FE0A7A">
        <w:t>млн</w:t>
      </w:r>
      <w:r>
        <w:t>. руб.</w:t>
      </w:r>
      <w:r w:rsidRPr="00FB1EA2">
        <w:t>, неналоговы</w:t>
      </w:r>
      <w:r>
        <w:t>х</w:t>
      </w:r>
      <w:r w:rsidRPr="00FB1EA2">
        <w:t xml:space="preserve"> доход</w:t>
      </w:r>
      <w:r>
        <w:t xml:space="preserve">ов в сумме </w:t>
      </w:r>
      <w:r>
        <w:rPr>
          <w:b/>
        </w:rPr>
        <w:t xml:space="preserve">0,9 </w:t>
      </w:r>
      <w:r w:rsidRPr="00FE0A7A">
        <w:t>млн</w:t>
      </w:r>
      <w:r>
        <w:rPr>
          <w:b/>
        </w:rPr>
        <w:t>.</w:t>
      </w:r>
      <w:r w:rsidRPr="00FB1EA2">
        <w:t xml:space="preserve"> руб.</w:t>
      </w:r>
      <w:r w:rsidRPr="000B04F8">
        <w:rPr>
          <w:spacing w:val="-3"/>
        </w:rPr>
        <w:t xml:space="preserve"> </w:t>
      </w:r>
      <w:r>
        <w:rPr>
          <w:spacing w:val="-3"/>
        </w:rPr>
        <w:t>Сокращение поступлений налоговых и неналоговых источников в бюджет муниципального образовани</w:t>
      </w:r>
      <w:r w:rsidRPr="009373B7">
        <w:rPr>
          <w:spacing w:val="-3"/>
        </w:rPr>
        <w:t>я</w:t>
      </w:r>
      <w:r>
        <w:rPr>
          <w:spacing w:val="-3"/>
        </w:rPr>
        <w:t xml:space="preserve"> связано с изменениями, внесенными в статью 61.2 Бюджетного Кодекса РФ Федеральным законом от 29.11.2014 №383-ФЗ, что привело к снижению нормативов отчислений в бюджет сельских поселений.</w:t>
      </w:r>
    </w:p>
    <w:p w:rsidR="00AD0820" w:rsidRPr="00A858DA" w:rsidRDefault="00AD0820" w:rsidP="00AD0820">
      <w:pPr>
        <w:spacing w:line="360" w:lineRule="auto"/>
        <w:ind w:firstLine="539"/>
        <w:jc w:val="both"/>
      </w:pPr>
      <w:r w:rsidRPr="00A858DA">
        <w:rPr>
          <w:spacing w:val="-3"/>
        </w:rPr>
        <w:t>В прогнози</w:t>
      </w:r>
      <w:r w:rsidRPr="00A858DA">
        <w:t>руемом периоде для обеспечения решения поставленных задач следует рассматривать</w:t>
      </w:r>
      <w:r>
        <w:t>,</w:t>
      </w:r>
      <w:r w:rsidRPr="00A858DA">
        <w:t xml:space="preserve"> </w:t>
      </w:r>
      <w:r>
        <w:t xml:space="preserve">в том числе, </w:t>
      </w:r>
      <w:r w:rsidRPr="00A858DA">
        <w:t>увеличение доходов от распоряжения имуществом, находящимся в муниципальной собственности.</w:t>
      </w:r>
    </w:p>
    <w:p w:rsidR="00AD0820" w:rsidRPr="00C974D4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 w:rsidRPr="00FB1EA2">
        <w:t>Общегосударственные расходы в 201</w:t>
      </w:r>
      <w:r>
        <w:t>4</w:t>
      </w:r>
      <w:r w:rsidRPr="00FB1EA2">
        <w:t xml:space="preserve"> году составили </w:t>
      </w:r>
      <w:r w:rsidRPr="007C7993">
        <w:rPr>
          <w:b/>
        </w:rPr>
        <w:t>2</w:t>
      </w:r>
      <w:r>
        <w:rPr>
          <w:b/>
        </w:rPr>
        <w:t>1</w:t>
      </w:r>
      <w:r w:rsidRPr="007C7993">
        <w:rPr>
          <w:b/>
        </w:rPr>
        <w:t>,</w:t>
      </w:r>
      <w:r>
        <w:rPr>
          <w:b/>
        </w:rPr>
        <w:t>34%</w:t>
      </w:r>
      <w:r w:rsidRPr="00FB1EA2">
        <w:t xml:space="preserve"> </w:t>
      </w:r>
      <w:r>
        <w:t xml:space="preserve">от </w:t>
      </w:r>
      <w:r w:rsidRPr="00FB1EA2">
        <w:t>общих расходов местного бюджета, тогда как в 201</w:t>
      </w:r>
      <w:r>
        <w:t>5</w:t>
      </w:r>
      <w:r w:rsidRPr="00FB1EA2">
        <w:t xml:space="preserve"> году по прогнозам составят </w:t>
      </w:r>
      <w:r>
        <w:rPr>
          <w:b/>
        </w:rPr>
        <w:t>30,4</w:t>
      </w:r>
      <w:r w:rsidRPr="007C7993">
        <w:rPr>
          <w:b/>
        </w:rPr>
        <w:t xml:space="preserve">% </w:t>
      </w:r>
      <w:r w:rsidRPr="00891DC7">
        <w:t xml:space="preserve">от </w:t>
      </w:r>
      <w:r w:rsidRPr="00FB1EA2">
        <w:t>общих расходов</w:t>
      </w:r>
      <w:r>
        <w:t xml:space="preserve"> </w:t>
      </w:r>
      <w:r>
        <w:lastRenderedPageBreak/>
        <w:t>бюджета</w:t>
      </w:r>
      <w:r w:rsidRPr="00FB1EA2">
        <w:t>. В плановом 201</w:t>
      </w:r>
      <w:r>
        <w:t>6</w:t>
      </w:r>
      <w:r w:rsidRPr="00FB1EA2">
        <w:t xml:space="preserve"> году доля общегосударственных расходов составит </w:t>
      </w:r>
      <w:r w:rsidRPr="00CD2D6F">
        <w:rPr>
          <w:b/>
        </w:rPr>
        <w:t>46,9</w:t>
      </w:r>
      <w:r w:rsidRPr="007C7993">
        <w:rPr>
          <w:b/>
        </w:rPr>
        <w:t>%</w:t>
      </w:r>
      <w:r w:rsidRPr="00FB1EA2">
        <w:t xml:space="preserve"> от общих расходов.</w:t>
      </w:r>
      <w:r>
        <w:t xml:space="preserve"> Это связано с сокращением общего объема расходных обязательств, в связи с вступлением в силу Закона НАО № 95-ОЗ </w:t>
      </w:r>
      <w:r w:rsidRPr="001B38EC">
        <w:t>от 19.09.2014г 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</w:t>
      </w:r>
      <w:r>
        <w:t xml:space="preserve">. В связи с этим проведена оптимизация штатной численности муниципальных служащих </w:t>
      </w:r>
      <w:r w:rsidRPr="00C974D4">
        <w:t>на 2 единицы.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 w:rsidRPr="00FB1EA2">
        <w:t>При разработке прогноза показателей местного бюджета на 201</w:t>
      </w:r>
      <w:r>
        <w:t>6</w:t>
      </w:r>
      <w:r w:rsidRPr="00FB1EA2">
        <w:t>-201</w:t>
      </w:r>
      <w:r>
        <w:t>8</w:t>
      </w:r>
      <w:r w:rsidRPr="00FB1EA2">
        <w:t xml:space="preserve"> годы учитываются </w:t>
      </w:r>
      <w:r>
        <w:t xml:space="preserve">как </w:t>
      </w:r>
      <w:r w:rsidRPr="00FB1EA2">
        <w:t>ранее определенные цели разв</w:t>
      </w:r>
      <w:r>
        <w:t>ития муниципального образования, так и переориентация приоритетов.</w:t>
      </w:r>
      <w:r w:rsidRPr="00FB1EA2">
        <w:t xml:space="preserve"> Основные направления налоговой и бюджетной политики направлены на наращивание поступлений собственных доходов на основе экономического роста и развития налогового потенциала, </w:t>
      </w:r>
      <w:r w:rsidRPr="004C616A">
        <w:t>повышение качества предоставления муниципальных услуг</w:t>
      </w:r>
      <w:r>
        <w:t xml:space="preserve">, </w:t>
      </w:r>
      <w:r w:rsidRPr="004C616A">
        <w:t>оптимизаци</w:t>
      </w:r>
      <w:r>
        <w:t>ю</w:t>
      </w:r>
      <w:r w:rsidRPr="004C616A">
        <w:t xml:space="preserve"> функций муниципального управления, повышение эффективности их обеспечения</w:t>
      </w:r>
      <w:r>
        <w:t>.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  <w:rPr>
          <w:b/>
          <w:sz w:val="26"/>
          <w:szCs w:val="26"/>
        </w:rPr>
      </w:pPr>
    </w:p>
    <w:p w:rsidR="00AD0820" w:rsidRPr="004C616A" w:rsidRDefault="00AD0820" w:rsidP="00AD0820">
      <w:pPr>
        <w:tabs>
          <w:tab w:val="left" w:pos="3248"/>
        </w:tabs>
        <w:spacing w:line="360" w:lineRule="auto"/>
        <w:ind w:firstLine="539"/>
        <w:jc w:val="center"/>
        <w:rPr>
          <w:b/>
        </w:rPr>
      </w:pPr>
      <w:r w:rsidRPr="004C616A">
        <w:rPr>
          <w:b/>
          <w:sz w:val="26"/>
          <w:szCs w:val="26"/>
        </w:rPr>
        <w:t>2</w:t>
      </w:r>
      <w:r w:rsidRPr="004C616A">
        <w:rPr>
          <w:b/>
        </w:rPr>
        <w:t>.</w:t>
      </w:r>
      <w:r>
        <w:rPr>
          <w:b/>
        </w:rPr>
        <w:t xml:space="preserve"> </w:t>
      </w:r>
      <w:r w:rsidRPr="004C616A">
        <w:rPr>
          <w:b/>
        </w:rPr>
        <w:t>Демография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rPr>
          <w:spacing w:val="9"/>
        </w:rPr>
        <w:t xml:space="preserve">Динамика общей численности населения отражает закономерности в </w:t>
      </w:r>
      <w:r>
        <w:t xml:space="preserve">тенденциях формирования его возрастной структуры и естественного </w:t>
      </w:r>
      <w:r>
        <w:rPr>
          <w:spacing w:val="13"/>
        </w:rPr>
        <w:t xml:space="preserve">воспроизводства населения, а также в значительной мере зависит от </w:t>
      </w:r>
      <w:r>
        <w:rPr>
          <w:spacing w:val="4"/>
        </w:rPr>
        <w:t>направленности и размеров миграционного движения населения.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 w:rsidRPr="00FB1EA2">
        <w:t>В 201</w:t>
      </w:r>
      <w:r>
        <w:t>6</w:t>
      </w:r>
      <w:r w:rsidRPr="00FB1EA2">
        <w:t>-201</w:t>
      </w:r>
      <w:r>
        <w:t>8</w:t>
      </w:r>
      <w:r w:rsidRPr="00FB1EA2">
        <w:t xml:space="preserve"> годах в поселении прогнозируется </w:t>
      </w:r>
      <w:r>
        <w:t>хорошее</w:t>
      </w:r>
      <w:r w:rsidRPr="00FB1EA2">
        <w:t xml:space="preserve"> развитие демографической ситуации под влиянием сложившихся тенденций рождаемости, смертности и миграции. </w:t>
      </w:r>
      <w:r>
        <w:t>Общее с</w:t>
      </w:r>
      <w:r w:rsidRPr="00FB1EA2">
        <w:t>окращение численности населения не планируется, ввиду сложившихся благоприятных факторов проживания в п. Красное (газ, наличие дороги до г</w:t>
      </w:r>
      <w:r>
        <w:t>орода</w:t>
      </w:r>
      <w:r w:rsidRPr="00FB1EA2">
        <w:t xml:space="preserve"> Нарьян-Мара)</w:t>
      </w:r>
      <w:r>
        <w:t>, но в тоже время имеет  место миграционный отток населения.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t>Главная стратегическая цель демографического развития муниципального образования «Приморско-Куйский сельсовет» НАО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 – экономические рычаги воздействия. К основным целям демографической политики относятся: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t>- укрепление семьи и повышение рождаемости;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t>- увеличение продолжительности жизни и снижение показателя смертности;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t>- оптимизация миграционных процессов, как внешних, так и внутренних.</w:t>
      </w:r>
    </w:p>
    <w:p w:rsidR="00AD0820" w:rsidRDefault="00AD0820" w:rsidP="00AD0820">
      <w:pPr>
        <w:tabs>
          <w:tab w:val="left" w:pos="3248"/>
        </w:tabs>
        <w:spacing w:line="360" w:lineRule="auto"/>
        <w:ind w:firstLine="539"/>
        <w:jc w:val="both"/>
      </w:pPr>
      <w:r>
        <w:lastRenderedPageBreak/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других направлений по улучшению качества жизни населения.</w:t>
      </w:r>
    </w:p>
    <w:p w:rsidR="00AD0820" w:rsidRPr="00FB1EA2" w:rsidRDefault="00AD0820" w:rsidP="00AD0820">
      <w:pPr>
        <w:tabs>
          <w:tab w:val="left" w:pos="3248"/>
        </w:tabs>
        <w:spacing w:line="360" w:lineRule="auto"/>
        <w:ind w:firstLine="539"/>
        <w:jc w:val="center"/>
      </w:pPr>
      <w:r w:rsidRPr="004C616A">
        <w:rPr>
          <w:b/>
        </w:rPr>
        <w:t>Демография</w:t>
      </w:r>
    </w:p>
    <w:p w:rsidR="00AD0820" w:rsidRPr="00F54EA4" w:rsidRDefault="00AD0820" w:rsidP="00AD0820">
      <w:pPr>
        <w:spacing w:line="360" w:lineRule="auto"/>
        <w:ind w:firstLine="539"/>
        <w:jc w:val="center"/>
        <w:rPr>
          <w:bCs/>
          <w:sz w:val="20"/>
          <w:szCs w:val="20"/>
        </w:rPr>
      </w:pPr>
      <w:r>
        <w:rPr>
          <w:b/>
          <w:bCs/>
        </w:rPr>
        <w:t xml:space="preserve">Численность постоянного населения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304"/>
        <w:gridCol w:w="1260"/>
        <w:gridCol w:w="1496"/>
        <w:gridCol w:w="1260"/>
        <w:gridCol w:w="1260"/>
        <w:gridCol w:w="1260"/>
      </w:tblGrid>
      <w:tr w:rsidR="00AD0820" w:rsidRPr="001E1795" w:rsidTr="004D736A">
        <w:tc>
          <w:tcPr>
            <w:tcW w:w="1980" w:type="dxa"/>
            <w:vMerge w:val="restart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Един</w:t>
            </w:r>
            <w:r>
              <w:rPr>
                <w:b/>
                <w:sz w:val="18"/>
                <w:szCs w:val="18"/>
              </w:rPr>
              <w:t>.</w:t>
            </w:r>
            <w:r w:rsidRPr="00A37314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564" w:type="dxa"/>
            <w:gridSpan w:val="2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1496" w:type="dxa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780" w:type="dxa"/>
            <w:gridSpan w:val="3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Прогноз</w:t>
            </w:r>
          </w:p>
        </w:tc>
      </w:tr>
      <w:tr w:rsidR="00AD0820" w:rsidRPr="001E1795" w:rsidTr="004D736A">
        <w:tc>
          <w:tcPr>
            <w:tcW w:w="1980" w:type="dxa"/>
            <w:vMerge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96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Численность</w:t>
            </w:r>
            <w:r>
              <w:rPr>
                <w:sz w:val="20"/>
                <w:szCs w:val="20"/>
              </w:rPr>
              <w:t xml:space="preserve"> </w:t>
            </w:r>
            <w:r w:rsidRPr="001E1795">
              <w:rPr>
                <w:sz w:val="20"/>
                <w:szCs w:val="20"/>
              </w:rPr>
              <w:t>постоянного населения, всего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" w:type="dxa"/>
          </w:tcPr>
          <w:p w:rsidR="00AD0820" w:rsidRPr="001E1795" w:rsidRDefault="00AD0820" w:rsidP="004D736A">
            <w:pPr>
              <w:spacing w:line="360" w:lineRule="auto"/>
              <w:ind w:right="-108"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1496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Пенсионеры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496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both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Инвалиды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</w:pPr>
            <w:r w:rsidRPr="001E1795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96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AD0820" w:rsidRPr="00FE5FFB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AD0820" w:rsidRPr="006D4382" w:rsidRDefault="00AD0820" w:rsidP="00AD0820">
      <w:pPr>
        <w:spacing w:before="100" w:beforeAutospacing="1" w:after="100" w:afterAutospacing="1" w:line="360" w:lineRule="auto"/>
        <w:ind w:firstLine="539"/>
        <w:jc w:val="center"/>
        <w:rPr>
          <w:b/>
        </w:rPr>
      </w:pPr>
      <w:r>
        <w:rPr>
          <w:b/>
        </w:rPr>
        <w:t>3</w:t>
      </w:r>
      <w:r w:rsidRPr="006D4382">
        <w:rPr>
          <w:b/>
        </w:rPr>
        <w:t>. Социальное и экономическое развитие поселения</w:t>
      </w:r>
    </w:p>
    <w:p w:rsidR="00AD0820" w:rsidRPr="006D4382" w:rsidRDefault="00AD0820" w:rsidP="00AD0820">
      <w:pPr>
        <w:spacing w:before="100" w:beforeAutospacing="1" w:after="100" w:afterAutospacing="1" w:line="360" w:lineRule="auto"/>
        <w:ind w:firstLine="539"/>
        <w:jc w:val="center"/>
        <w:rPr>
          <w:b/>
        </w:rPr>
      </w:pPr>
      <w:r>
        <w:rPr>
          <w:b/>
        </w:rPr>
        <w:t>3</w:t>
      </w:r>
      <w:r w:rsidRPr="006D4382">
        <w:rPr>
          <w:b/>
        </w:rPr>
        <w:t>.1.</w:t>
      </w:r>
      <w:r>
        <w:rPr>
          <w:b/>
        </w:rPr>
        <w:t xml:space="preserve"> </w:t>
      </w:r>
      <w:r w:rsidRPr="006D4382">
        <w:rPr>
          <w:b/>
        </w:rPr>
        <w:t>Сельское хозяйство</w:t>
      </w:r>
    </w:p>
    <w:p w:rsidR="00AD0820" w:rsidRDefault="00AD0820" w:rsidP="00AD0820">
      <w:pPr>
        <w:spacing w:line="360" w:lineRule="auto"/>
        <w:ind w:firstLine="539"/>
        <w:jc w:val="both"/>
        <w:rPr>
          <w:sz w:val="26"/>
          <w:szCs w:val="26"/>
        </w:rPr>
      </w:pPr>
      <w:r w:rsidRPr="00FB1EA2">
        <w:t>Основные ожидания положительных 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будет реализовываться ряд мероприятий, направленных на развитие сельского хозяйства.</w:t>
      </w:r>
      <w:r w:rsidRPr="009E7C98">
        <w:t xml:space="preserve"> </w:t>
      </w:r>
      <w:r w:rsidRPr="006D22FC">
        <w:t xml:space="preserve">Наибольший удельный вес в общем объеме валового продукта </w:t>
      </w:r>
      <w:r>
        <w:t>поселка</w:t>
      </w:r>
      <w:r w:rsidRPr="006D22FC">
        <w:t xml:space="preserve"> занима</w:t>
      </w:r>
      <w:r>
        <w:t>ет</w:t>
      </w:r>
      <w:r w:rsidRPr="006D22FC">
        <w:t xml:space="preserve"> сельское хозяйство. </w:t>
      </w:r>
      <w:r w:rsidRPr="006D22FC">
        <w:rPr>
          <w:bCs/>
          <w:iCs/>
        </w:rPr>
        <w:t xml:space="preserve">На их долю приходится </w:t>
      </w:r>
      <w:r>
        <w:rPr>
          <w:bCs/>
          <w:iCs/>
        </w:rPr>
        <w:t>48</w:t>
      </w:r>
      <w:r w:rsidRPr="006D22FC">
        <w:rPr>
          <w:bCs/>
          <w:iCs/>
        </w:rPr>
        <w:t xml:space="preserve"> % от общей суммы</w:t>
      </w:r>
      <w:r w:rsidRPr="006D22FC">
        <w:t xml:space="preserve"> производства товаров, выполнения работ и оказания услуг</w:t>
      </w:r>
      <w:r>
        <w:rPr>
          <w:sz w:val="26"/>
          <w:szCs w:val="26"/>
        </w:rPr>
        <w:t>.</w:t>
      </w:r>
    </w:p>
    <w:p w:rsidR="00AD0820" w:rsidRDefault="00AD0820" w:rsidP="00AD0820">
      <w:pPr>
        <w:spacing w:line="360" w:lineRule="auto"/>
        <w:ind w:firstLine="539"/>
        <w:jc w:val="both"/>
      </w:pPr>
      <w:r>
        <w:t>Финансово-хозяйственную деятельность осуществляют сельскохозяйственные предприятия СПК «ХАРП», СПК «ЕРВ».</w:t>
      </w:r>
      <w:r w:rsidRPr="00E27EB0">
        <w:t xml:space="preserve"> </w:t>
      </w:r>
      <w:r>
        <w:t>Основные цели деятельности данных предприятий – сохранение животноводства на территории муниципального образования, производство собственной продукции, сохранение рабочих мест.</w:t>
      </w:r>
      <w:r w:rsidRPr="00684804">
        <w:t xml:space="preserve"> </w:t>
      </w:r>
      <w:r w:rsidRPr="006D22FC">
        <w:t xml:space="preserve">Производственная инфраструктура </w:t>
      </w:r>
      <w:r>
        <w:t xml:space="preserve">данных предприятий </w:t>
      </w:r>
      <w:r w:rsidRPr="006D22FC">
        <w:t>представлена</w:t>
      </w:r>
      <w:r>
        <w:t xml:space="preserve">: </w:t>
      </w:r>
      <w:r w:rsidRPr="006D22FC">
        <w:t>СПК «Харп» (оленеводство, животноводство, рыбалка), СПК «Ерв» (оленеводство, рыбалка, сбор дикороссов)</w:t>
      </w:r>
      <w:r>
        <w:t>. Потенциалами развития данных предприятий будут являться:</w:t>
      </w:r>
    </w:p>
    <w:p w:rsidR="00AD0820" w:rsidRPr="00610603" w:rsidRDefault="00AD0820" w:rsidP="00AD0820">
      <w:pPr>
        <w:numPr>
          <w:ilvl w:val="0"/>
          <w:numId w:val="2"/>
        </w:numPr>
        <w:spacing w:line="360" w:lineRule="auto"/>
        <w:ind w:left="0" w:firstLine="539"/>
        <w:jc w:val="both"/>
      </w:pPr>
      <w:r w:rsidRPr="00610603">
        <w:t xml:space="preserve">Для СПК «Харп» </w:t>
      </w:r>
      <w:r>
        <w:t>-</w:t>
      </w:r>
      <w:r w:rsidRPr="00610603">
        <w:t xml:space="preserve"> строительство (реконструкция) МТФ</w:t>
      </w:r>
      <w:r>
        <w:t>;</w:t>
      </w:r>
    </w:p>
    <w:p w:rsidR="00AD0820" w:rsidRPr="00610603" w:rsidRDefault="00AD0820" w:rsidP="00AD0820">
      <w:pPr>
        <w:numPr>
          <w:ilvl w:val="0"/>
          <w:numId w:val="2"/>
        </w:numPr>
        <w:spacing w:line="360" w:lineRule="auto"/>
        <w:ind w:left="0" w:firstLine="539"/>
        <w:jc w:val="both"/>
      </w:pPr>
      <w:r w:rsidRPr="00610603">
        <w:t xml:space="preserve">Для СПК «Харп» и «Ерв» ввиду того, что имеющееся количество поголовья оленей является оптимальным по отношению к площадям мест выпаса  – налаживание частичной </w:t>
      </w:r>
      <w:r w:rsidRPr="00610603">
        <w:lastRenderedPageBreak/>
        <w:t>переработки мяса-оленины, рыбы, обработка шкур, реализация побочной продукции оленеводства (камусы, рога), сбор и реализация дикороссов, туризм</w:t>
      </w:r>
      <w:r>
        <w:t>;</w:t>
      </w:r>
    </w:p>
    <w:p w:rsidR="00AD0820" w:rsidRPr="00610603" w:rsidRDefault="00AD0820" w:rsidP="00AD0820">
      <w:pPr>
        <w:numPr>
          <w:ilvl w:val="0"/>
          <w:numId w:val="2"/>
        </w:numPr>
        <w:spacing w:line="360" w:lineRule="auto"/>
        <w:ind w:left="0" w:firstLine="539"/>
        <w:jc w:val="both"/>
      </w:pPr>
      <w:r w:rsidRPr="00610603">
        <w:t>В сельхозкооперативах в настоящее время за счет собственных средств ведется работа по монтажу линии убоя оленей (СПК «Харп»), цеха по выпуску мясной продукции  (СПК «Ерв»</w:t>
      </w:r>
      <w:r>
        <w:t>, СПК «Харп»</w:t>
      </w:r>
      <w:r w:rsidRPr="00610603">
        <w:t>).</w:t>
      </w:r>
    </w:p>
    <w:p w:rsidR="00AD0820" w:rsidRPr="006D22FC" w:rsidRDefault="00AD0820" w:rsidP="00AD0820">
      <w:pPr>
        <w:spacing w:line="360" w:lineRule="auto"/>
        <w:ind w:firstLine="539"/>
        <w:jc w:val="both"/>
      </w:pPr>
    </w:p>
    <w:p w:rsidR="00AD0820" w:rsidRDefault="00AD0820" w:rsidP="00AD0820">
      <w:pPr>
        <w:spacing w:line="360" w:lineRule="auto"/>
        <w:ind w:firstLine="539"/>
        <w:jc w:val="center"/>
      </w:pPr>
      <w:r>
        <w:rPr>
          <w:b/>
          <w:bCs/>
        </w:rPr>
        <w:t>Сельское хозяйство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080"/>
        <w:gridCol w:w="1260"/>
        <w:gridCol w:w="1260"/>
        <w:gridCol w:w="1260"/>
        <w:gridCol w:w="1260"/>
        <w:gridCol w:w="1260"/>
        <w:gridCol w:w="900"/>
      </w:tblGrid>
      <w:tr w:rsidR="00AD0820" w:rsidRPr="001E1795" w:rsidTr="004D736A">
        <w:tc>
          <w:tcPr>
            <w:tcW w:w="1980" w:type="dxa"/>
            <w:vMerge w:val="restart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Ед.измерения</w:t>
            </w:r>
          </w:p>
        </w:tc>
        <w:tc>
          <w:tcPr>
            <w:tcW w:w="2520" w:type="dxa"/>
            <w:gridSpan w:val="2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Оцен</w:t>
            </w:r>
            <w:r>
              <w:rPr>
                <w:b/>
                <w:sz w:val="18"/>
                <w:szCs w:val="18"/>
              </w:rPr>
              <w:t>-</w:t>
            </w:r>
            <w:r w:rsidRPr="00A37314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3420" w:type="dxa"/>
            <w:gridSpan w:val="3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Прогноз</w:t>
            </w:r>
          </w:p>
        </w:tc>
      </w:tr>
      <w:tr w:rsidR="00AD0820" w:rsidRPr="001E1795" w:rsidTr="004D736A">
        <w:tc>
          <w:tcPr>
            <w:tcW w:w="1980" w:type="dxa"/>
            <w:vMerge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b/>
                <w:sz w:val="18"/>
                <w:szCs w:val="18"/>
              </w:rPr>
            </w:pPr>
            <w:r w:rsidRPr="00A3731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Числ</w:t>
            </w:r>
            <w:r>
              <w:rPr>
                <w:sz w:val="20"/>
                <w:szCs w:val="20"/>
              </w:rPr>
              <w:t>.</w:t>
            </w:r>
          </w:p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работающих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Человек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130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Количество выпускаемой продукции, в т.ч.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</w:t>
            </w:r>
            <w:r w:rsidRPr="001E179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AD0820" w:rsidRPr="00F16C38" w:rsidRDefault="00AD0820" w:rsidP="004D736A">
            <w:pPr>
              <w:spacing w:line="360" w:lineRule="auto"/>
              <w:ind w:firstLine="539"/>
              <w:jc w:val="center"/>
              <w:rPr>
                <w:b/>
                <w:sz w:val="20"/>
                <w:szCs w:val="20"/>
              </w:rPr>
            </w:pPr>
            <w:r w:rsidRPr="00F16C38">
              <w:rPr>
                <w:b/>
                <w:sz w:val="20"/>
                <w:szCs w:val="20"/>
              </w:rPr>
              <w:t>62170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1663,9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Сливки</w:t>
            </w:r>
          </w:p>
        </w:tc>
        <w:tc>
          <w:tcPr>
            <w:tcW w:w="108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Тнг.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Масло</w:t>
            </w:r>
          </w:p>
        </w:tc>
        <w:tc>
          <w:tcPr>
            <w:tcW w:w="108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</w:pPr>
            <w:r w:rsidRPr="002C0146">
              <w:rPr>
                <w:sz w:val="20"/>
                <w:szCs w:val="20"/>
              </w:rPr>
              <w:t>Тн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5,5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5,5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080" w:type="dxa"/>
          </w:tcPr>
          <w:p w:rsidR="00AD0820" w:rsidRPr="002C0146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Тн.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Мясо</w:t>
            </w:r>
            <w:r>
              <w:rPr>
                <w:sz w:val="20"/>
                <w:szCs w:val="20"/>
              </w:rPr>
              <w:t xml:space="preserve"> (оленина)</w:t>
            </w:r>
          </w:p>
        </w:tc>
        <w:tc>
          <w:tcPr>
            <w:tcW w:w="108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</w:pPr>
            <w:r w:rsidRPr="002C0146">
              <w:rPr>
                <w:sz w:val="20"/>
                <w:szCs w:val="20"/>
              </w:rPr>
              <w:t>Тн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 w:rsidRPr="00A37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AD0820" w:rsidRPr="001E1795" w:rsidTr="004D736A">
        <w:tc>
          <w:tcPr>
            <w:tcW w:w="1980" w:type="dxa"/>
          </w:tcPr>
          <w:p w:rsidR="00AD0820" w:rsidRPr="001E1795" w:rsidRDefault="00AD0820" w:rsidP="004D736A">
            <w:pPr>
              <w:spacing w:line="360" w:lineRule="auto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(говядина)</w:t>
            </w:r>
          </w:p>
        </w:tc>
        <w:tc>
          <w:tcPr>
            <w:tcW w:w="1080" w:type="dxa"/>
          </w:tcPr>
          <w:p w:rsidR="00AD0820" w:rsidRPr="002C0146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Тн.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</w:tcPr>
          <w:p w:rsidR="00AD0820" w:rsidRDefault="00AD0820" w:rsidP="004D736A">
            <w:pPr>
              <w:spacing w:line="360" w:lineRule="auto"/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</w:tbl>
    <w:p w:rsidR="00AD0820" w:rsidRPr="00FB1EA2" w:rsidRDefault="00AD0820" w:rsidP="00AD0820">
      <w:pPr>
        <w:spacing w:before="100" w:beforeAutospacing="1" w:after="100" w:afterAutospacing="1" w:line="360" w:lineRule="auto"/>
        <w:ind w:firstLine="539"/>
        <w:jc w:val="center"/>
      </w:pPr>
      <w:r w:rsidRPr="00341CE8">
        <w:rPr>
          <w:b/>
        </w:rPr>
        <w:t>3.2.</w:t>
      </w:r>
      <w:r>
        <w:rPr>
          <w:b/>
        </w:rPr>
        <w:t xml:space="preserve"> </w:t>
      </w:r>
      <w:r w:rsidRPr="00341CE8">
        <w:rPr>
          <w:b/>
        </w:rPr>
        <w:t>Потребительский комплекс и предпринимательство</w:t>
      </w:r>
    </w:p>
    <w:p w:rsidR="00AD0820" w:rsidRPr="000F451C" w:rsidRDefault="00AD0820" w:rsidP="00AD0820">
      <w:pPr>
        <w:spacing w:line="360" w:lineRule="auto"/>
        <w:ind w:firstLine="539"/>
        <w:jc w:val="both"/>
      </w:pPr>
      <w:r w:rsidRPr="00FB1EA2">
        <w:t>Особое внимание необходимо уделить активному развитию потребительского рынка,</w:t>
      </w:r>
      <w:r>
        <w:t xml:space="preserve"> </w:t>
      </w:r>
      <w:r w:rsidRPr="00FB1EA2">
        <w:t>темпам роста его оборотов. Количество точек предприятий потребительского рынка останется на прежнем уровне, возможно незначительное увеличение торговых площадей.</w:t>
      </w:r>
      <w:r>
        <w:t xml:space="preserve"> Розничная торговля также занимает немалый </w:t>
      </w:r>
      <w:r w:rsidRPr="000F451C">
        <w:t xml:space="preserve">удельный вес в общем объеме валового продукта </w:t>
      </w:r>
      <w:r>
        <w:t>поселка.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 xml:space="preserve"> Основным критерием должен стать рост качественного предоставления услуг населению.</w:t>
      </w:r>
      <w:r>
        <w:t xml:space="preserve"> Темпы роста оборота розничной торговли носит устойчивый характер. Прежде всего, это связано с повышением:</w:t>
      </w:r>
    </w:p>
    <w:p w:rsidR="00AD0820" w:rsidRDefault="00AD0820" w:rsidP="00AD0820">
      <w:pPr>
        <w:spacing w:line="360" w:lineRule="auto"/>
        <w:ind w:firstLine="539"/>
        <w:jc w:val="both"/>
      </w:pPr>
      <w:r>
        <w:lastRenderedPageBreak/>
        <w:t>- культуры потребления;</w:t>
      </w:r>
    </w:p>
    <w:p w:rsidR="00AD0820" w:rsidRDefault="00AD0820" w:rsidP="00AD0820">
      <w:pPr>
        <w:spacing w:line="360" w:lineRule="auto"/>
        <w:ind w:firstLine="539"/>
        <w:jc w:val="both"/>
      </w:pPr>
      <w:r>
        <w:t>- уровня требования потребителей, предъявляемых к оказываемым услугам;</w:t>
      </w:r>
    </w:p>
    <w:p w:rsidR="00AD0820" w:rsidRDefault="00AD0820" w:rsidP="00AD0820">
      <w:pPr>
        <w:spacing w:line="360" w:lineRule="auto"/>
        <w:ind w:firstLine="539"/>
        <w:jc w:val="both"/>
      </w:pPr>
      <w:r>
        <w:t>- роста активности населения, желающего заниматься предпринимательством.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Численность работающих на пре</w:t>
      </w:r>
      <w:r>
        <w:t xml:space="preserve">дприятиях малого бизнеса составляет </w:t>
      </w:r>
      <w:r w:rsidRPr="00FB1EA2">
        <w:t>120 человек. В Ненецком автономном округе и в Заполярном районе, в частности, проводится работа по имущественной поддержке малого и среднего предпринимательства.</w:t>
      </w:r>
      <w:r>
        <w:t xml:space="preserve"> Также в нашем муниципальном образовании утверждена Муниципальная программа «Поддержка малого и среднего предпринимательства в муниципальном образовании «Приморско-Куйский сельсовет» НАО, которая будет реализована в 2015-2017 годах.</w:t>
      </w:r>
      <w:r w:rsidRPr="00FB1EA2">
        <w:t xml:space="preserve"> Основной целью указанного направления является сохранение за субъектами малого предпринимательства арендуемых ими помещений, находящихся в муниципальной собственности, и предоставление им преимущественного права на выкуп данных помещений</w:t>
      </w:r>
      <w:r w:rsidRPr="00240EEE">
        <w:t>.</w:t>
      </w:r>
      <w:r>
        <w:t xml:space="preserve"> </w:t>
      </w:r>
      <w:r w:rsidRPr="00240EEE">
        <w:rPr>
          <w:bCs/>
          <w:color w:val="000000"/>
        </w:rPr>
        <w:t>В</w:t>
      </w:r>
      <w:r>
        <w:rPr>
          <w:bCs/>
          <w:color w:val="000000"/>
        </w:rPr>
        <w:t xml:space="preserve"> 2015 году планируется п</w:t>
      </w:r>
      <w:r w:rsidRPr="00240EEE">
        <w:rPr>
          <w:bCs/>
        </w:rPr>
        <w:t>олучение до 12 патентов на ведение п</w:t>
      </w:r>
      <w:r>
        <w:rPr>
          <w:bCs/>
        </w:rPr>
        <w:t>редпринимательской деятельности. Соответственно может быть зарегистрировано до 12 предпринимателей.</w:t>
      </w:r>
    </w:p>
    <w:p w:rsidR="00AD0820" w:rsidRDefault="00AD0820" w:rsidP="00AD0820">
      <w:pPr>
        <w:spacing w:line="360" w:lineRule="auto"/>
        <w:ind w:firstLine="539"/>
        <w:jc w:val="both"/>
      </w:pPr>
      <w:r>
        <w:t>Ф</w:t>
      </w:r>
      <w:r w:rsidRPr="00FB1EA2">
        <w:t>орм</w:t>
      </w:r>
      <w:r>
        <w:t>ы</w:t>
      </w:r>
      <w:r w:rsidRPr="00FB1EA2">
        <w:t xml:space="preserve"> поддержки малого предпринимательства на территории муниципального образования остаются</w:t>
      </w:r>
      <w:r>
        <w:t xml:space="preserve"> такие, как</w:t>
      </w:r>
      <w:r w:rsidRPr="00FB1EA2">
        <w:t xml:space="preserve">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</w:t>
      </w:r>
      <w:r>
        <w:t xml:space="preserve"> </w:t>
      </w:r>
      <w:r w:rsidRPr="00FB1EA2">
        <w:t xml:space="preserve">и среднего предпринимательства. </w:t>
      </w:r>
    </w:p>
    <w:p w:rsidR="00AD0820" w:rsidRPr="00D608D6" w:rsidRDefault="00AD0820" w:rsidP="00AD0820">
      <w:pPr>
        <w:spacing w:line="360" w:lineRule="auto"/>
        <w:ind w:firstLine="539"/>
        <w:jc w:val="both"/>
      </w:pPr>
      <w:r w:rsidRPr="00FB1EA2">
        <w:t>Дальнейшему положительному развитию малого предпринимательства будут способствовать меры государственной</w:t>
      </w:r>
      <w:r>
        <w:t xml:space="preserve"> и муниципальной</w:t>
      </w:r>
      <w:r w:rsidRPr="00FB1EA2">
        <w:t xml:space="preserve"> поддержки, предусмотренные федеральным, региональным и местным законодательством.</w:t>
      </w:r>
      <w:r w:rsidRPr="00D608D6">
        <w:rPr>
          <w:sz w:val="26"/>
          <w:szCs w:val="26"/>
        </w:rPr>
        <w:t xml:space="preserve"> </w:t>
      </w:r>
      <w:r w:rsidRPr="00D608D6">
        <w:t>Развитие рынка товаров и услуг в прогнозируемом периоде будет происходить с сохранением позитивных тенденций, наметившихся в предыдущие годы.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Pr="004F7526" w:rsidRDefault="00AD0820" w:rsidP="00AD0820">
      <w:pPr>
        <w:spacing w:line="360" w:lineRule="auto"/>
        <w:ind w:firstLine="539"/>
        <w:jc w:val="center"/>
        <w:rPr>
          <w:b/>
        </w:rPr>
      </w:pPr>
      <w:r w:rsidRPr="00892A06">
        <w:rPr>
          <w:b/>
        </w:rPr>
        <w:t>3.</w:t>
      </w:r>
      <w:r w:rsidRPr="004F7526">
        <w:rPr>
          <w:b/>
        </w:rPr>
        <w:t>3.</w:t>
      </w:r>
      <w:r>
        <w:rPr>
          <w:b/>
        </w:rPr>
        <w:t xml:space="preserve"> </w:t>
      </w:r>
      <w:r w:rsidRPr="004F7526">
        <w:rPr>
          <w:b/>
        </w:rPr>
        <w:t>Инвестиции, развитие территории</w:t>
      </w:r>
    </w:p>
    <w:p w:rsidR="00AD0820" w:rsidRDefault="00AD0820" w:rsidP="00AD0820">
      <w:pPr>
        <w:pStyle w:val="21"/>
        <w:spacing w:after="0" w:line="360" w:lineRule="auto"/>
        <w:ind w:left="0" w:firstLine="539"/>
        <w:jc w:val="both"/>
      </w:pPr>
      <w:r w:rsidRPr="00E47517">
        <w:t>Одним из факторов экономического роста и создания дополнительных рабочих мест являются вложения в основной капитал.</w:t>
      </w:r>
      <w:r>
        <w:t xml:space="preserve"> </w:t>
      </w:r>
      <w:r w:rsidRPr="00FB1EA2">
        <w:t>В 201</w:t>
      </w:r>
      <w:r>
        <w:t xml:space="preserve">6 году и плановом периоде 2017 и </w:t>
      </w:r>
      <w:r w:rsidRPr="00FB1EA2">
        <w:t>201</w:t>
      </w:r>
      <w:r>
        <w:t>8</w:t>
      </w:r>
      <w:r w:rsidRPr="00FB1EA2">
        <w:t xml:space="preserve"> г</w:t>
      </w:r>
      <w:r>
        <w:t>одах</w:t>
      </w:r>
      <w:r w:rsidRPr="00FB1EA2">
        <w:t xml:space="preserve"> прогнозируется рост объема инвестиций. </w:t>
      </w:r>
    </w:p>
    <w:p w:rsidR="00AD0820" w:rsidRDefault="00AD0820" w:rsidP="00AD0820">
      <w:pPr>
        <w:pStyle w:val="21"/>
        <w:spacing w:after="0" w:line="360" w:lineRule="auto"/>
        <w:ind w:left="0" w:firstLine="539"/>
        <w:jc w:val="both"/>
      </w:pPr>
      <w:r w:rsidRPr="00FB1EA2">
        <w:t xml:space="preserve"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</w:t>
      </w:r>
      <w:r>
        <w:t>государственных</w:t>
      </w:r>
      <w:r w:rsidRPr="00FB1EA2">
        <w:t xml:space="preserve"> и </w:t>
      </w:r>
      <w:r>
        <w:t>муниципальных</w:t>
      </w:r>
      <w:r w:rsidRPr="00FB1EA2">
        <w:t xml:space="preserve">  программ </w:t>
      </w:r>
      <w:r>
        <w:lastRenderedPageBreak/>
        <w:t>ведется</w:t>
      </w:r>
      <w:r w:rsidRPr="00FB1EA2">
        <w:t xml:space="preserve"> строительство школы на 300 мест в п. Красное, строительство новых жилых домов, завершен</w:t>
      </w:r>
      <w:r>
        <w:t>а</w:t>
      </w:r>
      <w:r w:rsidRPr="00FB1EA2">
        <w:t xml:space="preserve">  разработк</w:t>
      </w:r>
      <w:r>
        <w:t>а</w:t>
      </w:r>
      <w:r w:rsidRPr="00FB1EA2">
        <w:t xml:space="preserve"> проектно-сметной документации на строительство очистных</w:t>
      </w:r>
      <w:r>
        <w:t xml:space="preserve"> </w:t>
      </w:r>
      <w:r w:rsidRPr="00FB1EA2">
        <w:t>сооружений в п. Красное.</w:t>
      </w:r>
      <w:r>
        <w:t xml:space="preserve"> В 2014 году приобретены три квартиры в муниципальную собственность по МП «Строительство (приобретение) жилых помещений в целях предоставления гражданам по договорам социального найма специализированного жилого помещения на территории муниципального района «Заполярный район» на 2014-2020 годы».</w:t>
      </w:r>
    </w:p>
    <w:p w:rsidR="00AD0820" w:rsidRDefault="00AD0820" w:rsidP="00AD0820">
      <w:pPr>
        <w:spacing w:line="360" w:lineRule="auto"/>
        <w:ind w:firstLine="539"/>
        <w:jc w:val="both"/>
      </w:pPr>
      <w:r>
        <w:t xml:space="preserve">В 2015 году будет построен пожарный резервуар в поселке Красное, питьевой колодец в деревне Куя, стоимость инвестиций в основной капитал составит </w:t>
      </w:r>
      <w:r w:rsidRPr="003D3025">
        <w:rPr>
          <w:b/>
        </w:rPr>
        <w:t>1</w:t>
      </w:r>
      <w:r>
        <w:rPr>
          <w:b/>
        </w:rPr>
        <w:t xml:space="preserve">543,8 </w:t>
      </w:r>
      <w:r w:rsidRPr="003D3025">
        <w:t>т</w:t>
      </w:r>
      <w:r>
        <w:t>.р.</w:t>
      </w:r>
    </w:p>
    <w:p w:rsidR="00AD0820" w:rsidRPr="00365FC1" w:rsidRDefault="00AD0820" w:rsidP="00AD0820">
      <w:pPr>
        <w:spacing w:line="360" w:lineRule="auto"/>
        <w:ind w:firstLine="539"/>
        <w:jc w:val="both"/>
      </w:pPr>
      <w:r w:rsidRPr="00365FC1">
        <w:t xml:space="preserve">За 2014 год объем  индивидуального жилищного строительства составил </w:t>
      </w:r>
      <w:smartTag w:uri="urn:schemas-microsoft-com:office:smarttags" w:element="metricconverter">
        <w:smartTagPr>
          <w:attr w:name="ProductID" w:val="757,0 кв. м"/>
        </w:smartTagPr>
        <w:r w:rsidRPr="00890101">
          <w:rPr>
            <w:b/>
          </w:rPr>
          <w:t>757,0</w:t>
        </w:r>
        <w:r w:rsidRPr="00365FC1">
          <w:t xml:space="preserve"> кв. м</w:t>
        </w:r>
      </w:smartTag>
      <w:r>
        <w:t xml:space="preserve">. В 2015 году наблюдается тенденция увеличения на </w:t>
      </w:r>
      <w:r w:rsidRPr="00890101">
        <w:rPr>
          <w:b/>
        </w:rPr>
        <w:t>642,12</w:t>
      </w:r>
      <w:r>
        <w:t>кв.м.</w:t>
      </w:r>
    </w:p>
    <w:p w:rsidR="00AD0820" w:rsidRPr="006908A7" w:rsidRDefault="00AD0820" w:rsidP="00AD0820">
      <w:pPr>
        <w:ind w:firstLine="539"/>
        <w:jc w:val="center"/>
        <w:rPr>
          <w:color w:val="444455"/>
        </w:rPr>
      </w:pPr>
      <w:r>
        <w:rPr>
          <w:b/>
          <w:bCs/>
        </w:rPr>
        <w:t>Строительство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080"/>
        <w:gridCol w:w="664"/>
        <w:gridCol w:w="1204"/>
        <w:gridCol w:w="1192"/>
        <w:gridCol w:w="1260"/>
        <w:gridCol w:w="1260"/>
        <w:gridCol w:w="1260"/>
      </w:tblGrid>
      <w:tr w:rsidR="00AD0820" w:rsidTr="004D736A">
        <w:tc>
          <w:tcPr>
            <w:tcW w:w="2340" w:type="dxa"/>
            <w:vMerge w:val="restart"/>
          </w:tcPr>
          <w:p w:rsidR="00AD0820" w:rsidRPr="001E1795" w:rsidRDefault="00AD0820" w:rsidP="004D736A">
            <w:pPr>
              <w:ind w:firstLine="539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:rsidR="00AD0820" w:rsidRPr="001E1795" w:rsidRDefault="00AD0820" w:rsidP="004D736A">
            <w:pPr>
              <w:ind w:firstLine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  <w:r w:rsidRPr="001E1795">
              <w:rPr>
                <w:sz w:val="18"/>
                <w:szCs w:val="18"/>
              </w:rPr>
              <w:t xml:space="preserve"> измерения</w:t>
            </w:r>
          </w:p>
        </w:tc>
        <w:tc>
          <w:tcPr>
            <w:tcW w:w="1868" w:type="dxa"/>
            <w:gridSpan w:val="2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Отчет</w:t>
            </w:r>
          </w:p>
        </w:tc>
        <w:tc>
          <w:tcPr>
            <w:tcW w:w="1192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Оценка</w:t>
            </w:r>
          </w:p>
        </w:tc>
        <w:tc>
          <w:tcPr>
            <w:tcW w:w="3780" w:type="dxa"/>
            <w:gridSpan w:val="3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 w:rsidRPr="001E1795">
              <w:rPr>
                <w:sz w:val="18"/>
                <w:szCs w:val="18"/>
              </w:rPr>
              <w:t>Прогноз</w:t>
            </w:r>
          </w:p>
        </w:tc>
      </w:tr>
      <w:tr w:rsidR="00AD0820" w:rsidTr="004D736A">
        <w:tc>
          <w:tcPr>
            <w:tcW w:w="2340" w:type="dxa"/>
            <w:vMerge/>
          </w:tcPr>
          <w:p w:rsidR="00AD0820" w:rsidRPr="001E1795" w:rsidRDefault="00AD0820" w:rsidP="004D736A">
            <w:pPr>
              <w:ind w:firstLine="539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0820" w:rsidRPr="001E1795" w:rsidRDefault="00AD0820" w:rsidP="004D736A">
            <w:pPr>
              <w:ind w:firstLine="539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192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AD0820" w:rsidTr="004D736A">
        <w:tc>
          <w:tcPr>
            <w:tcW w:w="234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66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D0820" w:rsidTr="004D736A">
        <w:tc>
          <w:tcPr>
            <w:tcW w:w="234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Кв.м. общей площади</w:t>
            </w:r>
          </w:p>
        </w:tc>
        <w:tc>
          <w:tcPr>
            <w:tcW w:w="66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1257,17</w:t>
            </w:r>
          </w:p>
        </w:tc>
        <w:tc>
          <w:tcPr>
            <w:tcW w:w="1192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2034,78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2034,78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2034,78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2034,78</w:t>
            </w:r>
          </w:p>
        </w:tc>
      </w:tr>
      <w:tr w:rsidR="00AD0820" w:rsidTr="004D736A">
        <w:tc>
          <w:tcPr>
            <w:tcW w:w="234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 том числе индивидуальные жилые дома, построенные населением за счет собственных (или) кредитных средств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6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5</w:t>
            </w:r>
          </w:p>
        </w:tc>
      </w:tr>
      <w:tr w:rsidR="00AD0820" w:rsidTr="004D736A">
        <w:tc>
          <w:tcPr>
            <w:tcW w:w="234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В том числе индивидуальные жилые дома, построенные населением за счет собственных (или) кредитных средств</w:t>
            </w:r>
          </w:p>
        </w:tc>
        <w:tc>
          <w:tcPr>
            <w:tcW w:w="1080" w:type="dxa"/>
          </w:tcPr>
          <w:p w:rsidR="00AD0820" w:rsidRPr="001E1795" w:rsidRDefault="00AD0820" w:rsidP="004D736A">
            <w:pPr>
              <w:ind w:firstLine="539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</w:rPr>
              <w:t>Кв.м. общей площади</w:t>
            </w:r>
          </w:p>
        </w:tc>
        <w:tc>
          <w:tcPr>
            <w:tcW w:w="664" w:type="dxa"/>
          </w:tcPr>
          <w:p w:rsidR="00AD0820" w:rsidRPr="001E1795" w:rsidRDefault="00AD0820" w:rsidP="004D736A">
            <w:pPr>
              <w:ind w:firstLine="539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757,17</w:t>
            </w:r>
          </w:p>
        </w:tc>
        <w:tc>
          <w:tcPr>
            <w:tcW w:w="1192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1399,12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1399,12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1399,12</w:t>
            </w:r>
          </w:p>
        </w:tc>
        <w:tc>
          <w:tcPr>
            <w:tcW w:w="1260" w:type="dxa"/>
          </w:tcPr>
          <w:p w:rsidR="00AD0820" w:rsidRPr="00A37314" w:rsidRDefault="00AD0820" w:rsidP="004D736A">
            <w:pPr>
              <w:ind w:firstLine="5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1399,12</w:t>
            </w:r>
          </w:p>
        </w:tc>
      </w:tr>
    </w:tbl>
    <w:p w:rsidR="00AD0820" w:rsidRPr="008F31C4" w:rsidRDefault="00AD0820" w:rsidP="00AD0820">
      <w:pPr>
        <w:spacing w:line="360" w:lineRule="auto"/>
        <w:ind w:firstLine="539"/>
        <w:jc w:val="both"/>
      </w:pPr>
    </w:p>
    <w:p w:rsidR="00AD0820" w:rsidRPr="00892A06" w:rsidRDefault="00AD0820" w:rsidP="00AD0820">
      <w:pPr>
        <w:spacing w:before="100" w:beforeAutospacing="1" w:after="100" w:afterAutospacing="1" w:line="360" w:lineRule="auto"/>
        <w:ind w:firstLine="539"/>
        <w:jc w:val="center"/>
        <w:rPr>
          <w:b/>
        </w:rPr>
      </w:pPr>
      <w:r>
        <w:rPr>
          <w:b/>
        </w:rPr>
        <w:t>3</w:t>
      </w:r>
      <w:r w:rsidRPr="00892A06">
        <w:rPr>
          <w:b/>
        </w:rPr>
        <w:t>.4. Жилищно-коммунальное хозяйство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>
        <w:t>П</w:t>
      </w:r>
      <w:r w:rsidRPr="00FB1EA2">
        <w:t xml:space="preserve">ланируется капитальный ремонт объектов муниципального жилищного фонда, находящихся в </w:t>
      </w:r>
      <w:r>
        <w:t>муниципальной собственности</w:t>
      </w:r>
      <w:r w:rsidRPr="00FB1EA2">
        <w:t xml:space="preserve"> по адресам: </w:t>
      </w:r>
      <w:r>
        <w:t xml:space="preserve">п. Красное, </w:t>
      </w:r>
      <w:r w:rsidRPr="00FB1EA2">
        <w:t xml:space="preserve">ул. </w:t>
      </w:r>
      <w:r>
        <w:t>Новая</w:t>
      </w:r>
      <w:r w:rsidRPr="00FB1EA2">
        <w:t>,</w:t>
      </w:r>
      <w:r>
        <w:t xml:space="preserve"> дом 2.</w:t>
      </w:r>
    </w:p>
    <w:p w:rsidR="00AD0820" w:rsidRDefault="00AD0820" w:rsidP="00AD0820">
      <w:pPr>
        <w:spacing w:line="360" w:lineRule="auto"/>
        <w:ind w:firstLine="539"/>
        <w:jc w:val="both"/>
      </w:pPr>
      <w:r>
        <w:t>Будут сохранены на дальнейшую перспективу субсидии предприятию МУП «Коммунальщик» на возмещение затрат при оказании сельскому населению услуг общественных бань.</w:t>
      </w:r>
    </w:p>
    <w:p w:rsidR="00AD0820" w:rsidRDefault="00AD0820" w:rsidP="00AD0820">
      <w:pPr>
        <w:spacing w:line="360" w:lineRule="auto"/>
        <w:ind w:firstLine="539"/>
        <w:jc w:val="both"/>
      </w:pPr>
      <w:r>
        <w:lastRenderedPageBreak/>
        <w:t>Проводятся и п</w:t>
      </w:r>
      <w:r w:rsidRPr="00FB1EA2">
        <w:t xml:space="preserve">ланируются работы по организации сбора и вывоза </w:t>
      </w:r>
      <w:r>
        <w:t>твердых бытовых отходов</w:t>
      </w:r>
      <w:r w:rsidRPr="00FB1EA2">
        <w:t xml:space="preserve"> с территории п. Красное при помощи спецтехники – мусоровоза</w:t>
      </w:r>
      <w:r>
        <w:t>.</w:t>
      </w:r>
      <w:r w:rsidRPr="00FB1EA2">
        <w:t xml:space="preserve"> 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>
        <w:t>Также приоритетное направление на 2016-2018 года будет занимать организация благоустройства на территории муниципального образования.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</w:rPr>
        <w:t>3</w:t>
      </w:r>
      <w:r w:rsidRPr="00892A06">
        <w:rPr>
          <w:b/>
        </w:rPr>
        <w:t>.5. Социальная сфера</w:t>
      </w:r>
    </w:p>
    <w:p w:rsidR="00AD0820" w:rsidRPr="00892A06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Pr="006D22FC" w:rsidRDefault="00AD0820" w:rsidP="00AD0820">
      <w:pPr>
        <w:spacing w:line="360" w:lineRule="auto"/>
        <w:ind w:firstLine="539"/>
        <w:jc w:val="both"/>
      </w:pPr>
      <w:r w:rsidRPr="006D22FC">
        <w:t xml:space="preserve">В состав МО «Приморско-Куйский сельсовет» НАО входят населенные пункты: п. Красное, </w:t>
      </w:r>
      <w:r>
        <w:t xml:space="preserve">д. Куя, д. Осколково, д. Чёрная. </w:t>
      </w:r>
      <w:r w:rsidRPr="006D22FC">
        <w:t>Административным центром является п</w:t>
      </w:r>
      <w:r>
        <w:t>оселок</w:t>
      </w:r>
      <w:r w:rsidRPr="006D22FC">
        <w:t xml:space="preserve"> Красное</w:t>
      </w:r>
      <w:r>
        <w:t>.</w:t>
      </w:r>
    </w:p>
    <w:p w:rsidR="00AD0820" w:rsidRPr="006D22FC" w:rsidRDefault="00AD0820" w:rsidP="00AD0820">
      <w:pPr>
        <w:ind w:firstLine="539"/>
        <w:jc w:val="center"/>
        <w:rPr>
          <w:b/>
        </w:rPr>
      </w:pPr>
      <w:r w:rsidRPr="006D22FC">
        <w:rPr>
          <w:b/>
        </w:rPr>
        <w:t>Социальная инфраструктура представлена в таблице</w:t>
      </w:r>
    </w:p>
    <w:tbl>
      <w:tblPr>
        <w:tblW w:w="955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1356"/>
        <w:gridCol w:w="1353"/>
        <w:gridCol w:w="1387"/>
        <w:gridCol w:w="1172"/>
        <w:gridCol w:w="1803"/>
        <w:gridCol w:w="1165"/>
      </w:tblGrid>
      <w:tr w:rsidR="00AD0820" w:rsidRPr="006D22FC" w:rsidTr="004D736A">
        <w:trPr>
          <w:trHeight w:val="465"/>
          <w:tblCellSpacing w:w="0" w:type="dxa"/>
        </w:trPr>
        <w:tc>
          <w:tcPr>
            <w:tcW w:w="13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поселок Красное</w:t>
            </w:r>
          </w:p>
        </w:tc>
        <w:tc>
          <w:tcPr>
            <w:tcW w:w="135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Средняя школа</w:t>
            </w:r>
          </w:p>
        </w:tc>
        <w:tc>
          <w:tcPr>
            <w:tcW w:w="135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Детский сад</w:t>
            </w:r>
          </w:p>
        </w:tc>
        <w:tc>
          <w:tcPr>
            <w:tcW w:w="138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Амбула-тория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Библиотека</w:t>
            </w:r>
          </w:p>
        </w:tc>
        <w:tc>
          <w:tcPr>
            <w:tcW w:w="116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center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Спорткомплекс</w:t>
            </w:r>
          </w:p>
        </w:tc>
      </w:tr>
      <w:tr w:rsidR="00AD0820" w:rsidRPr="006D22FC" w:rsidTr="004D736A">
        <w:trPr>
          <w:trHeight w:val="465"/>
          <w:tblCellSpacing w:w="0" w:type="dxa"/>
        </w:trPr>
        <w:tc>
          <w:tcPr>
            <w:tcW w:w="13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д. Куя</w:t>
            </w:r>
          </w:p>
        </w:tc>
        <w:tc>
          <w:tcPr>
            <w:tcW w:w="135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Школа-сад</w:t>
            </w:r>
          </w:p>
        </w:tc>
        <w:tc>
          <w:tcPr>
            <w:tcW w:w="135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ФАП (филиал)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ДКВП (филиал)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 xml:space="preserve"> (Филиал)</w:t>
            </w:r>
          </w:p>
        </w:tc>
        <w:tc>
          <w:tcPr>
            <w:tcW w:w="116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  <w:tr w:rsidR="00AD0820" w:rsidRPr="006D22FC" w:rsidTr="004D736A">
        <w:trPr>
          <w:trHeight w:val="240"/>
          <w:tblCellSpacing w:w="0" w:type="dxa"/>
        </w:trPr>
        <w:tc>
          <w:tcPr>
            <w:tcW w:w="13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д. Осколково</w:t>
            </w:r>
          </w:p>
        </w:tc>
        <w:tc>
          <w:tcPr>
            <w:tcW w:w="135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5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  <w:tr w:rsidR="00AD0820" w:rsidRPr="006D22FC" w:rsidTr="004D736A">
        <w:trPr>
          <w:trHeight w:val="240"/>
          <w:tblCellSpacing w:w="0" w:type="dxa"/>
        </w:trPr>
        <w:tc>
          <w:tcPr>
            <w:tcW w:w="13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д. Черная</w:t>
            </w:r>
          </w:p>
        </w:tc>
        <w:tc>
          <w:tcPr>
            <w:tcW w:w="135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5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240EEE" w:rsidRDefault="00AD0820" w:rsidP="004D736A">
            <w:pPr>
              <w:ind w:firstLine="539"/>
              <w:jc w:val="both"/>
              <w:rPr>
                <w:sz w:val="22"/>
                <w:szCs w:val="22"/>
              </w:rPr>
            </w:pPr>
            <w:r w:rsidRPr="00240EEE">
              <w:rPr>
                <w:sz w:val="22"/>
                <w:szCs w:val="22"/>
              </w:rPr>
              <w:t>-</w:t>
            </w:r>
          </w:p>
        </w:tc>
      </w:tr>
    </w:tbl>
    <w:p w:rsidR="00AD0820" w:rsidRDefault="00AD0820" w:rsidP="00AD0820">
      <w:pPr>
        <w:spacing w:line="360" w:lineRule="auto"/>
        <w:ind w:firstLine="539"/>
        <w:jc w:val="both"/>
      </w:pPr>
    </w:p>
    <w:p w:rsidR="00AD0820" w:rsidRDefault="00AD0820" w:rsidP="00AD0820">
      <w:pPr>
        <w:spacing w:line="360" w:lineRule="auto"/>
        <w:ind w:firstLine="539"/>
        <w:jc w:val="both"/>
      </w:pPr>
      <w:r w:rsidRPr="00FB1EA2">
        <w:t xml:space="preserve">Развитие социальной сферы на территории муниципального образования </w:t>
      </w:r>
      <w:r>
        <w:t>заключается</w:t>
      </w:r>
      <w:r w:rsidRPr="00FB1EA2">
        <w:t xml:space="preserve"> в рамках реализации сформированных муниципальных  программ, механизмы реализации которых доказали свою эффективность.</w:t>
      </w:r>
      <w:r w:rsidRPr="00582C17">
        <w:t xml:space="preserve"> </w:t>
      </w:r>
      <w:r>
        <w:t>Главная цель социальной инфраструктуры – формирование образа современного поселения через создание широких возможностей для образования, охраны здоровья, содержательного отдыха, развития народного творчества, пропаганды физической культуры и спорта.</w:t>
      </w:r>
    </w:p>
    <w:p w:rsidR="00AD0820" w:rsidRDefault="00AD0820" w:rsidP="00AD0820">
      <w:pPr>
        <w:spacing w:line="360" w:lineRule="auto"/>
        <w:ind w:firstLine="539"/>
        <w:jc w:val="both"/>
      </w:pPr>
      <w:r>
        <w:t xml:space="preserve"> </w:t>
      </w:r>
      <w:r w:rsidRPr="00FB1EA2"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В цел</w:t>
      </w:r>
      <w:r>
        <w:t>ях улучшения</w:t>
      </w:r>
      <w:r w:rsidRPr="00FB1EA2">
        <w:t xml:space="preserve"> качества, разнообразия и доступности услуг в области культуры </w:t>
      </w:r>
      <w:r>
        <w:t>были выполнены в 2014 году мероприятия по</w:t>
      </w:r>
      <w:r w:rsidRPr="00FB1EA2">
        <w:t xml:space="preserve"> модернизаци</w:t>
      </w:r>
      <w:r>
        <w:t>и</w:t>
      </w:r>
      <w:r w:rsidRPr="00FB1EA2">
        <w:t xml:space="preserve"> их материально-технической базы, в том числе посредством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</w:t>
      </w:r>
      <w:r>
        <w:t>сказалось</w:t>
      </w:r>
      <w:r w:rsidRPr="00FB1EA2">
        <w:t xml:space="preserve"> на повышении качества оказываемых услуг в сфере культуры.</w:t>
      </w: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На протяжени</w:t>
      </w:r>
      <w:r>
        <w:t>и</w:t>
      </w:r>
      <w:r w:rsidRPr="00FB1EA2">
        <w:t xml:space="preserve"> ряда лет комплектование книжного фонда библиотек производилось за счет выделения средств в рамках окружных и районных программ</w:t>
      </w:r>
      <w:r>
        <w:t>.</w:t>
      </w:r>
    </w:p>
    <w:p w:rsidR="00AD0820" w:rsidRDefault="00AD0820" w:rsidP="00AD0820">
      <w:pPr>
        <w:spacing w:line="360" w:lineRule="auto"/>
        <w:ind w:firstLine="539"/>
        <w:jc w:val="both"/>
      </w:pPr>
      <w:r>
        <w:lastRenderedPageBreak/>
        <w:t>Данные полномочия с 2015 года исполняются государственной властью Ненецкого автономного округа.</w:t>
      </w:r>
    </w:p>
    <w:p w:rsidR="00AD0820" w:rsidRDefault="00AD0820" w:rsidP="00AD0820">
      <w:pPr>
        <w:spacing w:line="360" w:lineRule="auto"/>
        <w:ind w:firstLine="539"/>
        <w:jc w:val="both"/>
      </w:pPr>
      <w:r>
        <w:t>В</w:t>
      </w:r>
      <w:r w:rsidRPr="00FB1EA2">
        <w:t xml:space="preserve"> качестве приоритета молодежной политики в 201</w:t>
      </w:r>
      <w:r>
        <w:t>6</w:t>
      </w:r>
      <w:r w:rsidRPr="00FB1EA2">
        <w:t>-201</w:t>
      </w:r>
      <w:r>
        <w:t>8</w:t>
      </w:r>
      <w:r w:rsidRPr="00FB1EA2">
        <w:t xml:space="preserve"> годов </w:t>
      </w:r>
      <w:r>
        <w:t>рассматривается вовлечение</w:t>
      </w:r>
      <w:r w:rsidRPr="00FB1EA2">
        <w:t xml:space="preserve"> молодежи</w:t>
      </w:r>
      <w:r>
        <w:t>,</w:t>
      </w:r>
      <w:r w:rsidRPr="00FB1EA2">
        <w:t xml:space="preserve"> как главного участника многообразной жизни общества</w:t>
      </w:r>
      <w:r>
        <w:t>.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</w:rPr>
        <w:t>3</w:t>
      </w:r>
      <w:r w:rsidRPr="00F646B1">
        <w:rPr>
          <w:b/>
        </w:rPr>
        <w:t>.6.Транспорт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  <w:r>
        <w:t xml:space="preserve"> </w:t>
      </w:r>
      <w:r w:rsidRPr="00FB1EA2">
        <w:t>В летний период это перевозки водным транспортом, в частности с д. Куя, зимой регулярного транспортного сообщения с этим населенным пунктом нет. Поселок Красное с административным центром округа - городом Нарьян-Маром связывает автодорога, но ввиду того, что дорога относится к дорогам 5 категории, регулярное транспо</w:t>
      </w:r>
      <w:r>
        <w:t>ртное сообщение пока невозможно</w:t>
      </w:r>
      <w:r w:rsidRPr="00FB1EA2">
        <w:t>. Перевозки пассажиров осуществляются частными перевозчиками, работающими в режиме такси.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</w:rPr>
        <w:t>3.7</w:t>
      </w:r>
      <w:r w:rsidRPr="00D364EA">
        <w:rPr>
          <w:b/>
        </w:rPr>
        <w:t>. Пожарная безопасность</w:t>
      </w:r>
    </w:p>
    <w:p w:rsidR="00AD0820" w:rsidRPr="00D364EA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Default="00AD0820" w:rsidP="00AD0820">
      <w:pPr>
        <w:spacing w:line="360" w:lineRule="auto"/>
        <w:ind w:firstLine="539"/>
        <w:jc w:val="both"/>
      </w:pPr>
      <w:r w:rsidRPr="00FB1EA2">
        <w:t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</w:t>
      </w:r>
      <w:r>
        <w:t xml:space="preserve"> мероприятий в области</w:t>
      </w:r>
      <w:r w:rsidRPr="00FB1EA2">
        <w:t xml:space="preserve"> пожарной безопасности </w:t>
      </w:r>
      <w:r>
        <w:t xml:space="preserve">на </w:t>
      </w:r>
      <w:r w:rsidRPr="00FB1EA2">
        <w:t>территории муниципального образования. Планируется выделение средств местного бюджета на приобретение пожарно-технического оборудования, проведение аг</w:t>
      </w:r>
      <w:r>
        <w:t>итационных мероприятий, финансирование Добровольной пожарной дружины, обслуживание пожарных водоемов, находящихся в собственности муниципального образования.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>
        <w:t>В 2016 году планируется строительство пожарного водоема.</w:t>
      </w:r>
    </w:p>
    <w:p w:rsidR="00AD0820" w:rsidRDefault="00AD0820" w:rsidP="00AD0820">
      <w:pPr>
        <w:spacing w:before="100" w:beforeAutospacing="1" w:after="100" w:afterAutospacing="1" w:line="360" w:lineRule="auto"/>
        <w:ind w:firstLine="539"/>
        <w:jc w:val="center"/>
      </w:pPr>
      <w:r>
        <w:rPr>
          <w:b/>
        </w:rPr>
        <w:t>3</w:t>
      </w:r>
      <w:r w:rsidRPr="009F3AA5">
        <w:rPr>
          <w:b/>
        </w:rPr>
        <w:t>.</w:t>
      </w:r>
      <w:r>
        <w:rPr>
          <w:b/>
        </w:rPr>
        <w:t>8</w:t>
      </w:r>
      <w:r w:rsidRPr="009F3AA5">
        <w:rPr>
          <w:b/>
        </w:rPr>
        <w:t>. Трудовые ресурсы, доходы, занятость</w:t>
      </w:r>
      <w:r>
        <w:t>.</w:t>
      </w:r>
    </w:p>
    <w:p w:rsidR="00AD0820" w:rsidRDefault="00AD0820" w:rsidP="00AD0820">
      <w:pPr>
        <w:spacing w:before="100" w:beforeAutospacing="1" w:after="100" w:afterAutospacing="1" w:line="360" w:lineRule="auto"/>
        <w:ind w:firstLine="539"/>
        <w:jc w:val="center"/>
      </w:pPr>
    </w:p>
    <w:p w:rsidR="00AD0820" w:rsidRDefault="00AD0820" w:rsidP="00AD0820">
      <w:pPr>
        <w:spacing w:line="360" w:lineRule="auto"/>
        <w:ind w:firstLine="539"/>
        <w:jc w:val="both"/>
      </w:pPr>
      <w:r w:rsidRPr="00FB1EA2">
        <w:t>Численность занятого населения к 201</w:t>
      </w:r>
      <w:r>
        <w:t>5</w:t>
      </w:r>
      <w:r w:rsidRPr="00FB1EA2">
        <w:t xml:space="preserve"> году прогнозируется около </w:t>
      </w:r>
      <w:r>
        <w:rPr>
          <w:b/>
        </w:rPr>
        <w:t>745</w:t>
      </w:r>
      <w:r w:rsidRPr="00FB1EA2">
        <w:t xml:space="preserve"> человек. Уровень безработицы на конец 201</w:t>
      </w:r>
      <w:r>
        <w:t>5</w:t>
      </w:r>
      <w:r w:rsidRPr="00FB1EA2">
        <w:t xml:space="preserve"> года составит </w:t>
      </w:r>
      <w:r w:rsidRPr="00A37314">
        <w:rPr>
          <w:b/>
        </w:rPr>
        <w:t>2,5- 2,7</w:t>
      </w:r>
      <w:r w:rsidRPr="00FB1EA2">
        <w:t xml:space="preserve"> % от экономически активного населения.</w:t>
      </w:r>
      <w:r>
        <w:t xml:space="preserve"> На дальнейшую перспективу планируется снижение безработицы на 2%.</w:t>
      </w:r>
    </w:p>
    <w:p w:rsidR="00AD0820" w:rsidRPr="00E26B60" w:rsidRDefault="00AD0820" w:rsidP="00AD0820">
      <w:pPr>
        <w:spacing w:before="100" w:beforeAutospacing="1" w:after="100" w:afterAutospacing="1" w:line="360" w:lineRule="auto"/>
        <w:ind w:firstLine="539"/>
        <w:jc w:val="both"/>
        <w:rPr>
          <w:b/>
          <w:bCs/>
        </w:rPr>
      </w:pPr>
      <w:r w:rsidRPr="00E26B60">
        <w:rPr>
          <w:b/>
          <w:bCs/>
        </w:rPr>
        <w:lastRenderedPageBreak/>
        <w:t>Уровень доходов по сельскому поселению (средняя зарплата) за 2014 год</w:t>
      </w:r>
    </w:p>
    <w:p w:rsidR="00AD0820" w:rsidRPr="00C81ABE" w:rsidRDefault="00AD0820" w:rsidP="00AD0820">
      <w:pPr>
        <w:spacing w:line="360" w:lineRule="auto"/>
        <w:ind w:firstLine="539"/>
        <w:jc w:val="center"/>
      </w:pPr>
      <w:r>
        <w:t xml:space="preserve">                                                                         (тыс. руб.)</w:t>
      </w:r>
    </w:p>
    <w:tbl>
      <w:tblPr>
        <w:tblW w:w="7215" w:type="dxa"/>
        <w:tblCellSpacing w:w="0" w:type="dxa"/>
        <w:tblInd w:w="674" w:type="dxa"/>
        <w:tblCellMar>
          <w:left w:w="0" w:type="dxa"/>
          <w:right w:w="0" w:type="dxa"/>
        </w:tblCellMar>
        <w:tblLook w:val="0000"/>
      </w:tblPr>
      <w:tblGrid>
        <w:gridCol w:w="3612"/>
        <w:gridCol w:w="3603"/>
      </w:tblGrid>
      <w:tr w:rsidR="00AD0820" w:rsidRPr="00C81ABE" w:rsidTr="004D736A">
        <w:trPr>
          <w:trHeight w:val="1140"/>
          <w:tblCellSpacing w:w="0" w:type="dxa"/>
        </w:trPr>
        <w:tc>
          <w:tcPr>
            <w:tcW w:w="361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СПК «Харп»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21</w:t>
            </w:r>
            <w:r>
              <w:rPr>
                <w:b/>
                <w:bCs/>
              </w:rPr>
              <w:t>,</w:t>
            </w:r>
            <w:r w:rsidRPr="00C81ABE">
              <w:rPr>
                <w:b/>
                <w:bCs/>
              </w:rPr>
              <w:t xml:space="preserve">1 </w:t>
            </w:r>
          </w:p>
        </w:tc>
      </w:tr>
      <w:tr w:rsidR="00AD0820" w:rsidRPr="00C81ABE" w:rsidTr="004D736A">
        <w:trPr>
          <w:trHeight w:val="1140"/>
          <w:tblCellSpacing w:w="0" w:type="dxa"/>
        </w:trPr>
        <w:tc>
          <w:tcPr>
            <w:tcW w:w="361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СПК «Ерв»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22</w:t>
            </w:r>
            <w:r>
              <w:rPr>
                <w:b/>
                <w:bCs/>
              </w:rPr>
              <w:t>,4</w:t>
            </w:r>
            <w:r w:rsidRPr="00C81ABE">
              <w:rPr>
                <w:b/>
                <w:bCs/>
              </w:rPr>
              <w:t xml:space="preserve"> </w:t>
            </w:r>
          </w:p>
        </w:tc>
      </w:tr>
      <w:tr w:rsidR="00AD0820" w:rsidRPr="00C81ABE" w:rsidTr="004D736A">
        <w:trPr>
          <w:trHeight w:val="1140"/>
          <w:tblCellSpacing w:w="0" w:type="dxa"/>
        </w:trPr>
        <w:tc>
          <w:tcPr>
            <w:tcW w:w="361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Школа (специалисты/техперсонал)</w:t>
            </w:r>
          </w:p>
        </w:tc>
        <w:tc>
          <w:tcPr>
            <w:tcW w:w="36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AD0820" w:rsidRPr="00C81ABE" w:rsidRDefault="00AD0820" w:rsidP="004D736A">
            <w:pPr>
              <w:spacing w:line="360" w:lineRule="auto"/>
              <w:ind w:firstLine="539"/>
              <w:jc w:val="both"/>
            </w:pPr>
            <w:r w:rsidRPr="00C81ABE">
              <w:rPr>
                <w:b/>
                <w:bCs/>
              </w:rPr>
              <w:t>75</w:t>
            </w:r>
            <w:r>
              <w:rPr>
                <w:b/>
                <w:bCs/>
              </w:rPr>
              <w:t>,4</w:t>
            </w:r>
            <w:r w:rsidRPr="00C81ABE">
              <w:rPr>
                <w:b/>
                <w:bCs/>
              </w:rPr>
              <w:t>/2</w:t>
            </w:r>
            <w:r>
              <w:rPr>
                <w:b/>
                <w:bCs/>
              </w:rPr>
              <w:t>6,0</w:t>
            </w:r>
          </w:p>
        </w:tc>
      </w:tr>
    </w:tbl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</w:rPr>
        <w:t>Структура занятости населения муниципального образования</w:t>
      </w:r>
    </w:p>
    <w:p w:rsidR="00AD0820" w:rsidRPr="003B6BC5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81450" cy="24193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0820" w:rsidRPr="00FB1EA2" w:rsidRDefault="00AD0820" w:rsidP="00AD0820">
      <w:pPr>
        <w:spacing w:line="360" w:lineRule="auto"/>
        <w:ind w:firstLine="539"/>
        <w:jc w:val="center"/>
      </w:pPr>
      <w:r>
        <w:rPr>
          <w:b/>
        </w:rPr>
        <w:t>4. Пред</w:t>
      </w:r>
      <w:r w:rsidRPr="00FB1EA2">
        <w:rPr>
          <w:b/>
        </w:rPr>
        <w:t>варительные итоги социально – экономического развития территории  муниципального образования «Приморско-Куйский сельсовет» Ненецкого автономного округа за 9 месяцев 201</w:t>
      </w:r>
      <w:r>
        <w:rPr>
          <w:b/>
        </w:rPr>
        <w:t>5</w:t>
      </w:r>
      <w:r w:rsidRPr="00FB1EA2">
        <w:rPr>
          <w:b/>
        </w:rPr>
        <w:t xml:space="preserve"> года</w:t>
      </w:r>
      <w:r>
        <w:rPr>
          <w:b/>
        </w:rPr>
        <w:t>.</w:t>
      </w:r>
    </w:p>
    <w:p w:rsidR="00AD0820" w:rsidRDefault="00AD0820" w:rsidP="00AD0820">
      <w:pPr>
        <w:spacing w:line="360" w:lineRule="auto"/>
        <w:ind w:firstLine="539"/>
        <w:jc w:val="center"/>
        <w:rPr>
          <w:b/>
        </w:rPr>
      </w:pPr>
    </w:p>
    <w:p w:rsidR="00AD0820" w:rsidRPr="00FB1EA2" w:rsidRDefault="00AD0820" w:rsidP="00AD0820">
      <w:pPr>
        <w:spacing w:line="360" w:lineRule="auto"/>
        <w:ind w:firstLine="539"/>
        <w:jc w:val="center"/>
        <w:rPr>
          <w:b/>
        </w:rPr>
      </w:pPr>
      <w:r>
        <w:rPr>
          <w:b/>
        </w:rPr>
        <w:t xml:space="preserve">4.1. </w:t>
      </w:r>
      <w:r w:rsidRPr="00FB1EA2">
        <w:rPr>
          <w:b/>
        </w:rPr>
        <w:t>Формирование, утверждение, исполнение бюджета поселения</w:t>
      </w:r>
      <w:r>
        <w:rPr>
          <w:b/>
        </w:rPr>
        <w:t>.</w:t>
      </w:r>
    </w:p>
    <w:p w:rsidR="00AD0820" w:rsidRPr="00A25075" w:rsidRDefault="00AD0820" w:rsidP="00AD0820">
      <w:pPr>
        <w:tabs>
          <w:tab w:val="left" w:pos="1080"/>
        </w:tabs>
        <w:spacing w:line="360" w:lineRule="auto"/>
        <w:ind w:firstLine="539"/>
        <w:jc w:val="both"/>
      </w:pPr>
      <w:r w:rsidRPr="00FB1EA2">
        <w:t>Местный бюджет на 201</w:t>
      </w:r>
      <w:r>
        <w:t>5</w:t>
      </w:r>
      <w:r w:rsidRPr="00FB1EA2">
        <w:t xml:space="preserve"> год утвержден решением Совета депутатов от 27.12.201</w:t>
      </w:r>
      <w:r>
        <w:t>4</w:t>
      </w:r>
      <w:r w:rsidRPr="00FB1EA2">
        <w:t xml:space="preserve"> № </w:t>
      </w:r>
      <w:r>
        <w:t>80</w:t>
      </w:r>
      <w:r w:rsidRPr="00FB1EA2">
        <w:t xml:space="preserve"> </w:t>
      </w:r>
      <w:r w:rsidRPr="00A25075">
        <w:t>(</w:t>
      </w:r>
      <w:r>
        <w:rPr>
          <w:lang w:eastAsia="en-US"/>
        </w:rPr>
        <w:t>в последней редакции решения от 16.</w:t>
      </w:r>
      <w:r w:rsidRPr="00A25075">
        <w:rPr>
          <w:lang w:eastAsia="en-US"/>
        </w:rPr>
        <w:t>0</w:t>
      </w:r>
      <w:r>
        <w:rPr>
          <w:lang w:eastAsia="en-US"/>
        </w:rPr>
        <w:t>9</w:t>
      </w:r>
      <w:r w:rsidRPr="00A25075">
        <w:rPr>
          <w:lang w:eastAsia="en-US"/>
        </w:rPr>
        <w:t>.201</w:t>
      </w:r>
      <w:r>
        <w:rPr>
          <w:lang w:eastAsia="en-US"/>
        </w:rPr>
        <w:t>5</w:t>
      </w:r>
      <w:r w:rsidRPr="00A25075">
        <w:rPr>
          <w:lang w:eastAsia="en-US"/>
        </w:rPr>
        <w:t xml:space="preserve"> № </w:t>
      </w:r>
      <w:r>
        <w:rPr>
          <w:lang w:eastAsia="en-US"/>
        </w:rPr>
        <w:t>116</w:t>
      </w:r>
      <w:r w:rsidRPr="00A25075">
        <w:rPr>
          <w:lang w:eastAsia="en-US"/>
        </w:rPr>
        <w:t>)</w:t>
      </w:r>
      <w:r>
        <w:rPr>
          <w:lang w:eastAsia="en-US"/>
        </w:rPr>
        <w:t>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t>Прогноз социально-экономического развития территории</w:t>
      </w:r>
      <w:r>
        <w:t xml:space="preserve"> составлен</w:t>
      </w:r>
      <w:r w:rsidRPr="00FB1EA2">
        <w:t xml:space="preserve"> в условиях действующего на день внесения проекта закона (решения) о бюджете в законодательный (представительный) орган законодательства о налогах и сборах</w:t>
      </w:r>
      <w:r>
        <w:t xml:space="preserve">, </w:t>
      </w:r>
      <w:r w:rsidRPr="00FB1EA2">
        <w:t xml:space="preserve">бюджетного законодательства, а также законодательства Российской Федерации, законов субъектов </w:t>
      </w:r>
      <w:r w:rsidRPr="00FB1EA2">
        <w:lastRenderedPageBreak/>
        <w:t>Российской Федерации и муниципальных правовых актов представительных органов муниципальных образований.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>
        <w:tab/>
        <w:t>Бюджет МО «Приморско-Куйский</w:t>
      </w:r>
      <w:r w:rsidRPr="00FB1EA2">
        <w:t xml:space="preserve"> сельсовет» НАО сформирован за счет налоговых и неналоговых доходов, а также за счет безвозмездных поступлений от других бюджетов бюджетной системы РФ. С учетом изменений</w:t>
      </w:r>
      <w:r>
        <w:t xml:space="preserve">, </w:t>
      </w:r>
      <w:r w:rsidRPr="00FB1EA2">
        <w:t>бюджет на 201</w:t>
      </w:r>
      <w:r>
        <w:t>5</w:t>
      </w:r>
      <w:r w:rsidRPr="00FB1EA2">
        <w:t xml:space="preserve"> год утвержден по доходам в сумме </w:t>
      </w:r>
      <w:r>
        <w:rPr>
          <w:b/>
        </w:rPr>
        <w:t>71 983,0</w:t>
      </w:r>
      <w:r w:rsidRPr="00FB1EA2">
        <w:t xml:space="preserve"> тыс. руб., по расходам </w:t>
      </w:r>
      <w:r>
        <w:rPr>
          <w:b/>
        </w:rPr>
        <w:t>72 300,3</w:t>
      </w:r>
      <w:r w:rsidRPr="00FB1EA2">
        <w:t xml:space="preserve"> тыс. руб. с дефицитом в размере </w:t>
      </w:r>
      <w:r>
        <w:rPr>
          <w:b/>
        </w:rPr>
        <w:t>317,3</w:t>
      </w:r>
      <w:r w:rsidRPr="00FB1EA2">
        <w:t xml:space="preserve"> тыс. руб. На покрытие дефицита направлены остатки на счетах по состоянию на 01.01.201</w:t>
      </w:r>
      <w:r>
        <w:t>5</w:t>
      </w:r>
      <w:r w:rsidRPr="00FB1EA2">
        <w:t xml:space="preserve"> года</w:t>
      </w:r>
      <w:r>
        <w:t>.</w:t>
      </w:r>
    </w:p>
    <w:p w:rsidR="00AD0820" w:rsidRPr="00FB1EA2" w:rsidRDefault="00AD0820" w:rsidP="00AD0820">
      <w:pPr>
        <w:tabs>
          <w:tab w:val="left" w:pos="900"/>
          <w:tab w:val="left" w:pos="1080"/>
        </w:tabs>
        <w:spacing w:line="360" w:lineRule="auto"/>
        <w:ind w:firstLine="539"/>
        <w:jc w:val="both"/>
      </w:pPr>
      <w:r w:rsidRPr="00FB1EA2">
        <w:t>Формирование расходных статей местного бюджета осуществляется в соответствии с расходными обязательствами, обусловленными законодательством РФ, разграничением полномочий органов местного самоуправления за счет средств бюджета муниципального образования.</w:t>
      </w:r>
    </w:p>
    <w:p w:rsidR="00AD0820" w:rsidRPr="00FB1EA2" w:rsidRDefault="00AD0820" w:rsidP="00AD0820">
      <w:pPr>
        <w:spacing w:line="360" w:lineRule="auto"/>
        <w:ind w:firstLine="539"/>
        <w:jc w:val="both"/>
      </w:pPr>
      <w:r w:rsidRPr="00FB1EA2">
        <w:rPr>
          <w:color w:val="0000FF"/>
        </w:rPr>
        <w:tab/>
      </w:r>
      <w:r w:rsidRPr="00FB1EA2">
        <w:t>Основными приоритетными направлениями формирования бюджета на 201</w:t>
      </w:r>
      <w:r>
        <w:t>5</w:t>
      </w:r>
      <w:r w:rsidRPr="00FB1EA2">
        <w:t xml:space="preserve"> год являются расходы в сфере:</w:t>
      </w:r>
    </w:p>
    <w:p w:rsidR="00AD0820" w:rsidRPr="00FB1EA2" w:rsidRDefault="00AD0820" w:rsidP="00AD0820">
      <w:pPr>
        <w:tabs>
          <w:tab w:val="left" w:pos="900"/>
        </w:tabs>
        <w:spacing w:line="360" w:lineRule="auto"/>
        <w:ind w:firstLine="539"/>
        <w:jc w:val="both"/>
      </w:pPr>
      <w:r w:rsidRPr="00FB1EA2">
        <w:t xml:space="preserve">- </w:t>
      </w:r>
      <w:r w:rsidRPr="00CE3267">
        <w:t>жилищно-коммунального хозяйства</w:t>
      </w:r>
      <w:r w:rsidRPr="00FB1EA2">
        <w:t xml:space="preserve"> – </w:t>
      </w:r>
      <w:r>
        <w:rPr>
          <w:b/>
        </w:rPr>
        <w:t>47,76</w:t>
      </w:r>
      <w:r w:rsidRPr="00FB1EA2">
        <w:t>%;</w:t>
      </w:r>
    </w:p>
    <w:p w:rsidR="00AD0820" w:rsidRPr="00FB1EA2" w:rsidRDefault="00AD0820" w:rsidP="00AD0820">
      <w:pPr>
        <w:tabs>
          <w:tab w:val="left" w:pos="900"/>
        </w:tabs>
        <w:spacing w:line="360" w:lineRule="auto"/>
        <w:ind w:firstLine="539"/>
        <w:jc w:val="both"/>
      </w:pPr>
      <w:r w:rsidRPr="00FB1EA2">
        <w:t xml:space="preserve">- </w:t>
      </w:r>
      <w:r w:rsidRPr="00CE3267">
        <w:t>общегосударственных вопросов</w:t>
      </w:r>
      <w:r w:rsidRPr="00FB1EA2">
        <w:t xml:space="preserve"> – </w:t>
      </w:r>
      <w:r>
        <w:rPr>
          <w:b/>
        </w:rPr>
        <w:t>30,4</w:t>
      </w:r>
      <w:r>
        <w:t>,</w:t>
      </w:r>
      <w:r w:rsidRPr="00FB1EA2">
        <w:t>%.</w:t>
      </w:r>
    </w:p>
    <w:p w:rsidR="00AD0820" w:rsidRDefault="00AD0820" w:rsidP="00AD0820">
      <w:pPr>
        <w:tabs>
          <w:tab w:val="left" w:pos="900"/>
        </w:tabs>
        <w:spacing w:line="360" w:lineRule="auto"/>
        <w:ind w:firstLine="539"/>
        <w:jc w:val="both"/>
      </w:pPr>
      <w:r w:rsidRPr="00FB1EA2">
        <w:t xml:space="preserve">- </w:t>
      </w:r>
      <w:r w:rsidRPr="00CE3267">
        <w:t>социальная политика</w:t>
      </w:r>
      <w:r w:rsidRPr="00FB1EA2">
        <w:t xml:space="preserve"> – </w:t>
      </w:r>
      <w:r w:rsidRPr="00CB4792">
        <w:rPr>
          <w:b/>
        </w:rPr>
        <w:t>1</w:t>
      </w:r>
      <w:r>
        <w:rPr>
          <w:b/>
        </w:rPr>
        <w:t>6,51</w:t>
      </w:r>
      <w:r>
        <w:t xml:space="preserve"> </w:t>
      </w:r>
      <w:r w:rsidRPr="00FB1EA2">
        <w:t>%</w:t>
      </w:r>
    </w:p>
    <w:p w:rsidR="00AD0820" w:rsidRPr="00FB1EA2" w:rsidRDefault="00AD0820" w:rsidP="00AD0820">
      <w:pPr>
        <w:tabs>
          <w:tab w:val="num" w:pos="1080"/>
        </w:tabs>
        <w:spacing w:line="360" w:lineRule="auto"/>
        <w:ind w:firstLine="539"/>
        <w:jc w:val="both"/>
      </w:pPr>
      <w:r w:rsidRPr="00FB1EA2">
        <w:t>Налоговые и неналоговые доходы МО «Приморско-Куйский сельсовет» на 201</w:t>
      </w:r>
      <w:r>
        <w:t>5</w:t>
      </w:r>
      <w:r w:rsidRPr="00FB1EA2">
        <w:t xml:space="preserve"> год запланированы в размере </w:t>
      </w:r>
      <w:r>
        <w:rPr>
          <w:b/>
        </w:rPr>
        <w:t>5 866,3</w:t>
      </w:r>
      <w:r w:rsidRPr="00FB1EA2">
        <w:t xml:space="preserve"> тыс. руб. или </w:t>
      </w:r>
      <w:r w:rsidRPr="00DA4C3B">
        <w:rPr>
          <w:b/>
        </w:rPr>
        <w:t>8,</w:t>
      </w:r>
      <w:r w:rsidRPr="00B875F9">
        <w:rPr>
          <w:b/>
        </w:rPr>
        <w:t>2</w:t>
      </w:r>
      <w:r>
        <w:t xml:space="preserve"> </w:t>
      </w:r>
      <w:r w:rsidRPr="00FB1EA2">
        <w:t xml:space="preserve">% в структуре доходов МО «Приморско-Куйский сельсовет» НАО. </w:t>
      </w:r>
    </w:p>
    <w:p w:rsidR="00AD0820" w:rsidRPr="00FB1EA2" w:rsidRDefault="00AD0820" w:rsidP="00AD0820">
      <w:pPr>
        <w:tabs>
          <w:tab w:val="num" w:pos="1080"/>
        </w:tabs>
        <w:spacing w:line="360" w:lineRule="auto"/>
        <w:ind w:firstLine="539"/>
        <w:jc w:val="both"/>
      </w:pPr>
      <w:r w:rsidRPr="00FB1EA2">
        <w:t>По итогам 9 месяцев исполнение бюджета составило:</w:t>
      </w:r>
    </w:p>
    <w:p w:rsidR="00AD0820" w:rsidRPr="00A0212E" w:rsidRDefault="00AD0820" w:rsidP="00AD0820">
      <w:pPr>
        <w:numPr>
          <w:ilvl w:val="0"/>
          <w:numId w:val="1"/>
        </w:numPr>
        <w:spacing w:line="360" w:lineRule="auto"/>
        <w:ind w:left="0" w:firstLine="539"/>
        <w:jc w:val="both"/>
        <w:rPr>
          <w:b/>
        </w:rPr>
      </w:pPr>
      <w:r w:rsidRPr="00A0212E">
        <w:rPr>
          <w:b/>
        </w:rPr>
        <w:t xml:space="preserve">По доходам в сумме </w:t>
      </w:r>
      <w:r>
        <w:rPr>
          <w:b/>
        </w:rPr>
        <w:t>48 591,9</w:t>
      </w:r>
      <w:r w:rsidRPr="00A0212E">
        <w:rPr>
          <w:b/>
        </w:rPr>
        <w:t xml:space="preserve"> тыс.руб. , в. т.ч:</w:t>
      </w:r>
    </w:p>
    <w:p w:rsidR="00AD0820" w:rsidRDefault="00AD0820" w:rsidP="00AD0820">
      <w:pPr>
        <w:ind w:left="1080"/>
        <w:jc w:val="right"/>
      </w:pPr>
      <w:r>
        <w:t>(тыс. руб.)</w:t>
      </w:r>
    </w:p>
    <w:tbl>
      <w:tblPr>
        <w:tblW w:w="9735" w:type="dxa"/>
        <w:tblCellMar>
          <w:left w:w="0" w:type="dxa"/>
          <w:right w:w="0" w:type="dxa"/>
        </w:tblCellMar>
        <w:tblLook w:val="0000"/>
      </w:tblPr>
      <w:tblGrid>
        <w:gridCol w:w="4515"/>
        <w:gridCol w:w="1855"/>
        <w:gridCol w:w="1555"/>
        <w:gridCol w:w="1810"/>
      </w:tblGrid>
      <w:tr w:rsidR="00AD0820" w:rsidTr="004D736A">
        <w:trPr>
          <w:trHeight w:val="690"/>
        </w:trPr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Уточненные бюджетные назначения на 2015 год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Исполнено за 3 квартал 2015 года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Процент исполнения к уточненному плану за 3 кв. 2015 года</w:t>
            </w:r>
          </w:p>
        </w:tc>
      </w:tr>
      <w:tr w:rsidR="00AD0820" w:rsidTr="004D736A">
        <w:trPr>
          <w:trHeight w:val="253"/>
        </w:trPr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20" w:rsidRDefault="00AD0820" w:rsidP="004D73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20" w:rsidRDefault="00AD0820" w:rsidP="004D73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20" w:rsidRDefault="00AD0820" w:rsidP="004D73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820" w:rsidRDefault="00AD0820" w:rsidP="004D736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0820" w:rsidTr="004D736A">
        <w:trPr>
          <w:trHeight w:val="2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D0820" w:rsidTr="004D736A">
        <w:trPr>
          <w:trHeight w:val="5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5 866,3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3 991,5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68,04</w:t>
            </w:r>
          </w:p>
        </w:tc>
      </w:tr>
      <w:tr w:rsidR="00AD0820" w:rsidTr="004D736A">
        <w:trPr>
          <w:trHeight w:val="28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3 627,7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1 868,2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51,50</w:t>
            </w:r>
          </w:p>
        </w:tc>
      </w:tr>
      <w:tr w:rsidR="00AD0820" w:rsidTr="004D736A">
        <w:trPr>
          <w:trHeight w:val="31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60,33</w:t>
            </w:r>
          </w:p>
        </w:tc>
      </w:tr>
      <w:tr w:rsidR="00AD0820" w:rsidTr="004D736A">
        <w:trPr>
          <w:trHeight w:val="267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0820" w:rsidTr="004D736A">
        <w:trPr>
          <w:trHeight w:val="348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87,59</w:t>
            </w:r>
          </w:p>
        </w:tc>
      </w:tr>
      <w:tr w:rsidR="00AD0820" w:rsidTr="004D736A">
        <w:trPr>
          <w:trHeight w:val="2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37,85</w:t>
            </w:r>
          </w:p>
        </w:tc>
      </w:tr>
      <w:tr w:rsidR="00AD0820" w:rsidTr="004D736A">
        <w:trPr>
          <w:trHeight w:val="2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</w:t>
            </w:r>
          </w:p>
        </w:tc>
      </w:tr>
      <w:tr w:rsidR="00AD0820" w:rsidTr="004D736A">
        <w:trPr>
          <w:trHeight w:val="31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2 238,6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2 123,3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94,85</w:t>
            </w:r>
          </w:p>
        </w:tc>
      </w:tr>
      <w:tr w:rsidR="00AD0820" w:rsidTr="004D736A">
        <w:trPr>
          <w:trHeight w:val="76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89,10</w:t>
            </w:r>
          </w:p>
        </w:tc>
      </w:tr>
      <w:tr w:rsidR="00AD0820" w:rsidTr="004D736A">
        <w:trPr>
          <w:trHeight w:val="43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79,57</w:t>
            </w:r>
          </w:p>
        </w:tc>
      </w:tr>
      <w:tr w:rsidR="00AD0820" w:rsidTr="004D736A">
        <w:trPr>
          <w:trHeight w:val="1038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D0820" w:rsidTr="004D736A">
        <w:trPr>
          <w:trHeight w:val="403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</w:tr>
      <w:tr w:rsidR="00AD0820" w:rsidTr="004D736A">
        <w:trPr>
          <w:trHeight w:val="2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0820" w:rsidTr="004D736A">
        <w:trPr>
          <w:trHeight w:val="31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66 116,7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44 600,4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67,46</w:t>
            </w:r>
          </w:p>
        </w:tc>
      </w:tr>
      <w:tr w:rsidR="00AD0820" w:rsidTr="004D736A">
        <w:trPr>
          <w:trHeight w:val="267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выравнивания бюджетной обеспеченности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18 794,5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14 095,9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D0820" w:rsidTr="004D736A">
        <w:trPr>
          <w:trHeight w:val="102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 бюджетной системы Российской Федерации (межбюджетные субсидии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3 954,8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77,55</w:t>
            </w:r>
          </w:p>
        </w:tc>
      </w:tr>
      <w:tr w:rsidR="00AD0820" w:rsidTr="004D736A">
        <w:trPr>
          <w:trHeight w:val="562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  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8 004,8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4 818,1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60,19</w:t>
            </w:r>
          </w:p>
        </w:tc>
      </w:tr>
      <w:tr w:rsidR="00AD0820" w:rsidTr="004D736A">
        <w:trPr>
          <w:trHeight w:val="327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21 634,3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63,41</w:t>
            </w:r>
          </w:p>
        </w:tc>
      </w:tr>
      <w:tr w:rsidR="00AD0820" w:rsidTr="004D736A">
        <w:trPr>
          <w:trHeight w:val="111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D0820" w:rsidTr="004D736A">
        <w:trPr>
          <w:trHeight w:val="756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межбюджетный трансфертов, имеющих целевое назначение, прошлых лет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D0820" w:rsidTr="004D736A">
        <w:trPr>
          <w:trHeight w:val="27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71 983,0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48 591,9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0820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67,50</w:t>
            </w:r>
          </w:p>
        </w:tc>
      </w:tr>
    </w:tbl>
    <w:p w:rsidR="00AD0820" w:rsidRPr="000F5552" w:rsidRDefault="00AD0820" w:rsidP="00AD0820">
      <w:pPr>
        <w:ind w:left="1080"/>
        <w:jc w:val="both"/>
      </w:pPr>
    </w:p>
    <w:p w:rsidR="00AD0820" w:rsidRDefault="00AD0820" w:rsidP="00AD0820">
      <w:pPr>
        <w:numPr>
          <w:ilvl w:val="0"/>
          <w:numId w:val="1"/>
        </w:numPr>
        <w:spacing w:after="200" w:line="276" w:lineRule="auto"/>
        <w:jc w:val="both"/>
      </w:pPr>
      <w:r w:rsidRPr="00A0212E">
        <w:rPr>
          <w:b/>
        </w:rPr>
        <w:t xml:space="preserve">По расходам в сумме </w:t>
      </w:r>
      <w:r>
        <w:rPr>
          <w:b/>
        </w:rPr>
        <w:t>45 877,0</w:t>
      </w:r>
      <w:r w:rsidRPr="00A0212E">
        <w:rPr>
          <w:b/>
        </w:rPr>
        <w:t xml:space="preserve"> тыс. руб. в. т.ч</w:t>
      </w:r>
      <w:r w:rsidRPr="00FB1EA2">
        <w:t>:</w:t>
      </w:r>
    </w:p>
    <w:p w:rsidR="00AD0820" w:rsidRDefault="00AD0820" w:rsidP="00AD0820">
      <w:pPr>
        <w:spacing w:after="200" w:line="276" w:lineRule="auto"/>
        <w:jc w:val="right"/>
      </w:pPr>
      <w:r>
        <w:t>(тыс. руб.)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260"/>
        <w:gridCol w:w="1474"/>
        <w:gridCol w:w="1463"/>
        <w:gridCol w:w="1463"/>
      </w:tblGrid>
      <w:tr w:rsidR="00AD0820" w:rsidRPr="00B42257" w:rsidTr="004D736A">
        <w:tc>
          <w:tcPr>
            <w:tcW w:w="3960" w:type="dxa"/>
            <w:vAlign w:val="center"/>
          </w:tcPr>
          <w:p w:rsidR="00AD0820" w:rsidRPr="00B93BB1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B93BB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vAlign w:val="center"/>
          </w:tcPr>
          <w:p w:rsidR="00AD0820" w:rsidRPr="00B93BB1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B93BB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474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Уточненные бюджетные назначения на 2015 год</w:t>
            </w:r>
          </w:p>
        </w:tc>
        <w:tc>
          <w:tcPr>
            <w:tcW w:w="1463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Исполнено за 3 квартал 2015 года</w:t>
            </w:r>
          </w:p>
        </w:tc>
        <w:tc>
          <w:tcPr>
            <w:tcW w:w="1463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DE">
              <w:rPr>
                <w:b/>
                <w:bCs/>
                <w:sz w:val="20"/>
                <w:szCs w:val="20"/>
              </w:rPr>
              <w:t>Процент исполнения к уточненному плану за 3 кв. 2015 года</w:t>
            </w:r>
          </w:p>
        </w:tc>
      </w:tr>
      <w:tr w:rsidR="00AD0820" w:rsidRPr="00B42257" w:rsidTr="004D736A">
        <w:tc>
          <w:tcPr>
            <w:tcW w:w="3960" w:type="dxa"/>
            <w:vAlign w:val="center"/>
          </w:tcPr>
          <w:p w:rsidR="00AD0820" w:rsidRPr="00B93BB1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vAlign w:val="center"/>
          </w:tcPr>
          <w:p w:rsidR="00AD0820" w:rsidRPr="00B93BB1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</w:p>
        </w:tc>
        <w:tc>
          <w:tcPr>
            <w:tcW w:w="1474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21 976,9</w:t>
            </w:r>
          </w:p>
        </w:tc>
        <w:tc>
          <w:tcPr>
            <w:tcW w:w="1463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17912,0</w:t>
            </w:r>
          </w:p>
        </w:tc>
        <w:tc>
          <w:tcPr>
            <w:tcW w:w="1463" w:type="dxa"/>
            <w:vAlign w:val="center"/>
          </w:tcPr>
          <w:p w:rsidR="00AD0820" w:rsidRPr="00214FDE" w:rsidRDefault="00AD0820" w:rsidP="004D7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 должностного лица субъекта РФ и муниципального образования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2822,1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2350,1</w:t>
            </w:r>
            <w:r w:rsidRPr="00B42257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83,27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Функционирование законодательных  (представительных)  органов местного самоуправления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ind w:left="533" w:hanging="533"/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2509,1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1885,6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75,15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15426,7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12776,4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82,82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06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445,4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74,9</w:t>
            </w:r>
            <w:r>
              <w:rPr>
                <w:sz w:val="20"/>
                <w:szCs w:val="20"/>
              </w:rPr>
              <w:t>9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11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723,6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565,9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78,21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58001E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02 00</w:t>
            </w:r>
          </w:p>
        </w:tc>
        <w:tc>
          <w:tcPr>
            <w:tcW w:w="1474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152,8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60,41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58001E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03 00</w:t>
            </w:r>
          </w:p>
        </w:tc>
        <w:tc>
          <w:tcPr>
            <w:tcW w:w="1474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2559,5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1269,8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49,61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 xml:space="preserve">Предупреждение и ликвидация последствий чрезвычайных ситуаций </w:t>
            </w:r>
            <w:r w:rsidRPr="00B42257">
              <w:rPr>
                <w:sz w:val="20"/>
                <w:szCs w:val="2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lastRenderedPageBreak/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16,78,0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67,38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     правоохранительной деятельности 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03 14</w:t>
            </w:r>
          </w:p>
        </w:tc>
        <w:tc>
          <w:tcPr>
            <w:tcW w:w="1474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58001E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 xml:space="preserve"> 00</w:t>
            </w:r>
          </w:p>
        </w:tc>
        <w:tc>
          <w:tcPr>
            <w:tcW w:w="1474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813,0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621,5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76,45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B42257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 w:rsidRPr="00B42257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B422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621,5</w:t>
            </w:r>
          </w:p>
        </w:tc>
        <w:tc>
          <w:tcPr>
            <w:tcW w:w="1463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center"/>
          </w:tcPr>
          <w:p w:rsidR="00AD0820" w:rsidRPr="00B42257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74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58001E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05 00</w:t>
            </w:r>
          </w:p>
        </w:tc>
        <w:tc>
          <w:tcPr>
            <w:tcW w:w="1474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34533,0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19653,8</w:t>
            </w:r>
          </w:p>
        </w:tc>
        <w:tc>
          <w:tcPr>
            <w:tcW w:w="1463" w:type="dxa"/>
            <w:vAlign w:val="center"/>
          </w:tcPr>
          <w:p w:rsidR="00AD0820" w:rsidRPr="0058001E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58001E">
              <w:rPr>
                <w:b/>
                <w:sz w:val="20"/>
                <w:szCs w:val="20"/>
              </w:rPr>
              <w:t>62,0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095910" w:rsidRDefault="00AD0820" w:rsidP="004D736A">
            <w:pPr>
              <w:jc w:val="both"/>
              <w:rPr>
                <w:sz w:val="20"/>
                <w:szCs w:val="20"/>
              </w:rPr>
            </w:pPr>
            <w:r w:rsidRPr="0009591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  <w:vAlign w:val="center"/>
          </w:tcPr>
          <w:p w:rsidR="00AD0820" w:rsidRPr="0009591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74" w:type="dxa"/>
            <w:vAlign w:val="center"/>
          </w:tcPr>
          <w:p w:rsidR="00AD0820" w:rsidRPr="0009591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1463" w:type="dxa"/>
            <w:vAlign w:val="center"/>
          </w:tcPr>
          <w:p w:rsidR="00AD0820" w:rsidRPr="0009591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334,2</w:t>
            </w:r>
          </w:p>
        </w:tc>
        <w:tc>
          <w:tcPr>
            <w:tcW w:w="1463" w:type="dxa"/>
            <w:vAlign w:val="center"/>
          </w:tcPr>
          <w:p w:rsidR="00AD0820" w:rsidRPr="0009591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17,59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09591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74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16903,3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5799,0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34,31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74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15 729,7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13520,6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85,96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095910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 w:rsidRPr="00095910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60" w:type="dxa"/>
            <w:vAlign w:val="center"/>
          </w:tcPr>
          <w:p w:rsidR="00AD0820" w:rsidRPr="00095910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095910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9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74" w:type="dxa"/>
            <w:vAlign w:val="center"/>
          </w:tcPr>
          <w:p w:rsidR="00AD0820" w:rsidRPr="00095910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1463" w:type="dxa"/>
            <w:vAlign w:val="center"/>
          </w:tcPr>
          <w:p w:rsidR="00AD0820" w:rsidRPr="00095910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147,2</w:t>
            </w:r>
          </w:p>
        </w:tc>
        <w:tc>
          <w:tcPr>
            <w:tcW w:w="1463" w:type="dxa"/>
            <w:vAlign w:val="center"/>
          </w:tcPr>
          <w:p w:rsidR="00AD0820" w:rsidRPr="00095910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53,24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6C11BA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60" w:type="dxa"/>
            <w:vAlign w:val="center"/>
          </w:tcPr>
          <w:p w:rsidR="00AD0820" w:rsidRPr="006C11BA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6C11B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11B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74" w:type="dxa"/>
            <w:vAlign w:val="center"/>
          </w:tcPr>
          <w:p w:rsidR="00AD0820" w:rsidRPr="006C11BA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11938,6</w:t>
            </w:r>
          </w:p>
        </w:tc>
        <w:tc>
          <w:tcPr>
            <w:tcW w:w="1463" w:type="dxa"/>
            <w:vAlign w:val="center"/>
          </w:tcPr>
          <w:p w:rsidR="00AD0820" w:rsidRPr="006C11BA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6732,7</w:t>
            </w:r>
          </w:p>
        </w:tc>
        <w:tc>
          <w:tcPr>
            <w:tcW w:w="1463" w:type="dxa"/>
            <w:vAlign w:val="center"/>
          </w:tcPr>
          <w:p w:rsidR="00AD0820" w:rsidRPr="006C11BA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56,39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244742" w:rsidRDefault="00AD0820" w:rsidP="004D736A">
            <w:pPr>
              <w:jc w:val="both"/>
              <w:rPr>
                <w:sz w:val="20"/>
                <w:szCs w:val="20"/>
              </w:rPr>
            </w:pPr>
            <w:r w:rsidRPr="00244742">
              <w:rPr>
                <w:sz w:val="20"/>
                <w:szCs w:val="20"/>
              </w:rPr>
              <w:t>Пенсионное обслуживание</w:t>
            </w:r>
          </w:p>
        </w:tc>
        <w:tc>
          <w:tcPr>
            <w:tcW w:w="1260" w:type="dxa"/>
            <w:vAlign w:val="center"/>
          </w:tcPr>
          <w:p w:rsidR="00AD0820" w:rsidRPr="00244742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</w:t>
            </w:r>
          </w:p>
        </w:tc>
        <w:tc>
          <w:tcPr>
            <w:tcW w:w="1474" w:type="dxa"/>
            <w:vAlign w:val="center"/>
          </w:tcPr>
          <w:p w:rsidR="00AD0820" w:rsidRPr="00244742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3675,4</w:t>
            </w:r>
          </w:p>
        </w:tc>
        <w:tc>
          <w:tcPr>
            <w:tcW w:w="1463" w:type="dxa"/>
            <w:vAlign w:val="center"/>
          </w:tcPr>
          <w:p w:rsidR="00AD0820" w:rsidRPr="00244742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2533,9</w:t>
            </w:r>
          </w:p>
        </w:tc>
        <w:tc>
          <w:tcPr>
            <w:tcW w:w="1463" w:type="dxa"/>
            <w:vAlign w:val="center"/>
          </w:tcPr>
          <w:p w:rsidR="00AD0820" w:rsidRPr="00244742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68,94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244742" w:rsidRDefault="00AD0820" w:rsidP="004D7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474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8263,2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4198,8</w:t>
            </w:r>
          </w:p>
        </w:tc>
        <w:tc>
          <w:tcPr>
            <w:tcW w:w="1463" w:type="dxa"/>
            <w:vAlign w:val="center"/>
          </w:tcPr>
          <w:p w:rsidR="00AD0820" w:rsidRDefault="00AD0820" w:rsidP="004D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50,81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F07C23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 w:rsidRPr="00F07C2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F07C23">
              <w:rPr>
                <w:b/>
                <w:sz w:val="20"/>
                <w:szCs w:val="20"/>
              </w:rPr>
              <w:t>11 00</w:t>
            </w:r>
          </w:p>
        </w:tc>
        <w:tc>
          <w:tcPr>
            <w:tcW w:w="1474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F07C2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463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F07C23"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1463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 w:rsidRPr="00F07C23">
              <w:rPr>
                <w:b/>
                <w:sz w:val="20"/>
                <w:szCs w:val="20"/>
              </w:rPr>
              <w:t>16,0</w:t>
            </w:r>
          </w:p>
        </w:tc>
      </w:tr>
      <w:tr w:rsidR="00AD0820" w:rsidRPr="00B42257" w:rsidTr="004D736A">
        <w:tc>
          <w:tcPr>
            <w:tcW w:w="3960" w:type="dxa"/>
          </w:tcPr>
          <w:p w:rsidR="00AD0820" w:rsidRPr="00F07C23" w:rsidRDefault="00AD0820" w:rsidP="004D73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72 300,3</w:t>
            </w:r>
          </w:p>
        </w:tc>
        <w:tc>
          <w:tcPr>
            <w:tcW w:w="1463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45 877,0</w:t>
            </w:r>
          </w:p>
        </w:tc>
        <w:tc>
          <w:tcPr>
            <w:tcW w:w="1463" w:type="dxa"/>
            <w:vAlign w:val="center"/>
          </w:tcPr>
          <w:p w:rsidR="00AD0820" w:rsidRPr="00F07C23" w:rsidRDefault="00AD0820" w:rsidP="004D7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63,45</w:t>
            </w:r>
          </w:p>
        </w:tc>
      </w:tr>
    </w:tbl>
    <w:p w:rsidR="00AD0820" w:rsidRPr="00B42257" w:rsidRDefault="00AD0820" w:rsidP="00AD0820">
      <w:pPr>
        <w:tabs>
          <w:tab w:val="left" w:pos="900"/>
          <w:tab w:val="left" w:pos="1080"/>
        </w:tabs>
        <w:ind w:firstLine="720"/>
        <w:jc w:val="both"/>
        <w:rPr>
          <w:sz w:val="20"/>
          <w:szCs w:val="20"/>
        </w:rPr>
      </w:pPr>
      <w:r w:rsidRPr="00B42257">
        <w:rPr>
          <w:sz w:val="20"/>
          <w:szCs w:val="20"/>
        </w:rPr>
        <w:t>.</w:t>
      </w:r>
    </w:p>
    <w:p w:rsidR="002D695D" w:rsidRDefault="00AD0820"/>
    <w:sectPr w:rsidR="002D695D" w:rsidSect="00350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38A"/>
    <w:multiLevelType w:val="hybridMultilevel"/>
    <w:tmpl w:val="442833FE"/>
    <w:lvl w:ilvl="0" w:tplc="06289C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412A99"/>
    <w:multiLevelType w:val="hybridMultilevel"/>
    <w:tmpl w:val="E758DA1A"/>
    <w:lvl w:ilvl="0" w:tplc="B4FC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A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2C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C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0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820"/>
    <w:rsid w:val="001B5C0F"/>
    <w:rsid w:val="00AC3875"/>
    <w:rsid w:val="00AD0820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D0820"/>
    <w:pPr>
      <w:spacing w:after="120" w:line="480" w:lineRule="auto"/>
      <w:ind w:left="283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0"/>
      <c:perspective val="0"/>
    </c:view3D>
    <c:plotArea>
      <c:layout>
        <c:manualLayout>
          <c:layoutTarget val="inner"/>
          <c:xMode val="edge"/>
          <c:yMode val="edge"/>
          <c:x val="0.28850855745721282"/>
          <c:y val="0.35655737704918045"/>
          <c:w val="0.45721271393643031"/>
          <c:h val="0.303278688524590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eparator> </c:separator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27.3</c:v>
                </c:pt>
                <c:pt idx="1">
                  <c:v>28.5</c:v>
                </c:pt>
                <c:pt idx="2">
                  <c:v>13.5</c:v>
                </c:pt>
                <c:pt idx="3">
                  <c:v>14.7</c:v>
                </c:pt>
                <c:pt idx="4">
                  <c:v>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Бюджетные организации</c:v>
                </c:pt>
                <c:pt idx="1">
                  <c:v>СПК</c:v>
                </c:pt>
                <c:pt idx="2">
                  <c:v>Предпринимательская сфера</c:v>
                </c:pt>
                <c:pt idx="3">
                  <c:v>Прочие</c:v>
                </c:pt>
                <c:pt idx="4">
                  <c:v>Официально безработные граждане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  <c:spPr>
        <a:solidFill>
          <a:srgbClr val="C0C0C0"/>
        </a:solidFill>
        <a:ln w="12669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3527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2017-01-04T08:58:00Z</dcterms:created>
  <dcterms:modified xsi:type="dcterms:W3CDTF">2017-01-04T08:58:00Z</dcterms:modified>
</cp:coreProperties>
</file>