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C" w:rsidRDefault="008C767C" w:rsidP="008C767C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t>Прило</w:t>
      </w:r>
      <w:r w:rsidRPr="008F56FC">
        <w:rPr>
          <w:b/>
        </w:rPr>
        <w:t>жение 1</w:t>
      </w:r>
    </w:p>
    <w:p w:rsidR="008C767C" w:rsidRDefault="008C767C" w:rsidP="008C767C">
      <w:pPr>
        <w:ind w:firstLine="539"/>
        <w:jc w:val="center"/>
        <w:rPr>
          <w:b/>
          <w:sz w:val="28"/>
          <w:szCs w:val="28"/>
        </w:rPr>
      </w:pPr>
    </w:p>
    <w:p w:rsidR="008C767C" w:rsidRPr="00B6579E" w:rsidRDefault="008C767C" w:rsidP="008C767C">
      <w:pPr>
        <w:ind w:firstLine="539"/>
        <w:jc w:val="center"/>
        <w:rPr>
          <w:b/>
          <w:sz w:val="26"/>
          <w:szCs w:val="26"/>
        </w:rPr>
      </w:pPr>
      <w:r w:rsidRPr="00B6579E">
        <w:rPr>
          <w:b/>
          <w:sz w:val="26"/>
          <w:szCs w:val="26"/>
        </w:rPr>
        <w:t xml:space="preserve">ПРОГНОЗ </w:t>
      </w:r>
    </w:p>
    <w:p w:rsidR="008C767C" w:rsidRDefault="008C767C" w:rsidP="008C767C">
      <w:pPr>
        <w:ind w:firstLine="539"/>
        <w:jc w:val="center"/>
        <w:rPr>
          <w:b/>
          <w:bCs/>
          <w:color w:val="332E2D"/>
          <w:spacing w:val="2"/>
          <w:sz w:val="26"/>
          <w:szCs w:val="26"/>
        </w:rPr>
      </w:pPr>
      <w:r w:rsidRPr="00B6579E">
        <w:rPr>
          <w:b/>
          <w:sz w:val="26"/>
          <w:szCs w:val="26"/>
        </w:rPr>
        <w:t xml:space="preserve">социально-экономического развития </w:t>
      </w:r>
      <w:r w:rsidRPr="00B6579E">
        <w:rPr>
          <w:b/>
          <w:sz w:val="26"/>
          <w:szCs w:val="26"/>
        </w:rPr>
        <w:br/>
        <w:t xml:space="preserve">муниципального образования «Приморско-Куйский сельсовет» </w:t>
      </w:r>
      <w:r w:rsidRPr="00B6579E">
        <w:rPr>
          <w:b/>
          <w:sz w:val="26"/>
          <w:szCs w:val="26"/>
        </w:rPr>
        <w:br/>
        <w:t xml:space="preserve">Ненецкого автономного округа  </w:t>
      </w:r>
      <w:r w:rsidRPr="00B6579E">
        <w:rPr>
          <w:b/>
          <w:bCs/>
          <w:color w:val="332E2D"/>
          <w:spacing w:val="2"/>
          <w:sz w:val="26"/>
          <w:szCs w:val="26"/>
        </w:rPr>
        <w:t>на 201</w:t>
      </w:r>
      <w:r>
        <w:rPr>
          <w:b/>
          <w:bCs/>
          <w:color w:val="332E2D"/>
          <w:spacing w:val="2"/>
          <w:sz w:val="26"/>
          <w:szCs w:val="26"/>
        </w:rPr>
        <w:t>7</w:t>
      </w:r>
      <w:r w:rsidRPr="00B6579E">
        <w:rPr>
          <w:b/>
          <w:bCs/>
          <w:color w:val="332E2D"/>
          <w:spacing w:val="2"/>
          <w:sz w:val="26"/>
          <w:szCs w:val="26"/>
        </w:rPr>
        <w:t xml:space="preserve"> год и плановый период 201</w:t>
      </w:r>
      <w:r>
        <w:rPr>
          <w:b/>
          <w:bCs/>
          <w:color w:val="332E2D"/>
          <w:spacing w:val="2"/>
          <w:sz w:val="26"/>
          <w:szCs w:val="26"/>
        </w:rPr>
        <w:t>8</w:t>
      </w:r>
      <w:r w:rsidRPr="00B6579E">
        <w:rPr>
          <w:b/>
          <w:bCs/>
          <w:color w:val="332E2D"/>
          <w:spacing w:val="2"/>
          <w:sz w:val="26"/>
          <w:szCs w:val="26"/>
        </w:rPr>
        <w:t xml:space="preserve"> и 201</w:t>
      </w:r>
      <w:r>
        <w:rPr>
          <w:b/>
          <w:bCs/>
          <w:color w:val="332E2D"/>
          <w:spacing w:val="2"/>
          <w:sz w:val="26"/>
          <w:szCs w:val="26"/>
        </w:rPr>
        <w:t>9</w:t>
      </w:r>
      <w:r w:rsidRPr="00B6579E">
        <w:rPr>
          <w:b/>
          <w:bCs/>
          <w:color w:val="332E2D"/>
          <w:spacing w:val="2"/>
          <w:sz w:val="26"/>
          <w:szCs w:val="26"/>
        </w:rPr>
        <w:t xml:space="preserve"> годов</w:t>
      </w:r>
    </w:p>
    <w:p w:rsidR="008C767C" w:rsidRPr="00B6579E" w:rsidRDefault="008C767C" w:rsidP="008C767C">
      <w:pPr>
        <w:ind w:firstLine="539"/>
        <w:jc w:val="center"/>
        <w:rPr>
          <w:b/>
          <w:sz w:val="26"/>
          <w:szCs w:val="26"/>
        </w:rPr>
      </w:pP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Прогноз социально-экономического развития муниципального образования «Приморско-Куйский сельсовет» Ненецкого автономного округа разработан на основе сценарных условий социально-экономического развития Российской Федерации на 2017 год и плановый период 2018 и 2019 годов с учетом анализа социально-экономического развития Ненецкого автономного округа за 2015 год и 9 месяцев 2016 года, </w:t>
      </w:r>
      <w:r w:rsidRPr="00EE2EBF">
        <w:rPr>
          <w:spacing w:val="1"/>
          <w:sz w:val="26"/>
          <w:szCs w:val="26"/>
        </w:rPr>
        <w:t>с учетом индексов дефляторов, разработанных Министерством экономического развития Российской Федерации,</w:t>
      </w:r>
      <w:r w:rsidRPr="00EE2EBF">
        <w:rPr>
          <w:sz w:val="26"/>
          <w:szCs w:val="26"/>
        </w:rPr>
        <w:t xml:space="preserve"> ожидаемых результатов развития муниципального образования  в 2016 году и основными направлениями налоговой и бюджетной политики муниципального образования «Приморско-Куйский сельсовет» Ненецкого автономного округа. 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Бюджетная политика должна формироваться исходя из необходимости улучшения качества жизни населения,  повышения эффективности и прозрачности управления бюджетными средствами.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 Ориентация бюджетных расходов будет соответствовать решению задач в первую очередь в сфере благоустройства территории сельского поселения (организация благоустройства), социальной политики, а так же в части организации проведения официальных физкультурно-оздоровительных и спортивных мероприятий поселения, молодежной политики.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Необходимо внедрение с 2017 года программно-целевого принципа организации деятельности органов исполнительной власти поселения, в связи с чем, рекомендуется утвердить основные муниципальные программы.</w:t>
      </w:r>
    </w:p>
    <w:p w:rsidR="008C767C" w:rsidRPr="00621724" w:rsidRDefault="008C767C" w:rsidP="008C767C">
      <w:pPr>
        <w:spacing w:before="100" w:beforeAutospacing="1" w:after="100" w:afterAutospacing="1"/>
        <w:ind w:firstLine="539"/>
        <w:jc w:val="both"/>
        <w:rPr>
          <w:b/>
          <w:sz w:val="26"/>
          <w:szCs w:val="26"/>
        </w:rPr>
      </w:pPr>
      <w:r w:rsidRPr="00EE2EBF">
        <w:rPr>
          <w:sz w:val="26"/>
          <w:szCs w:val="26"/>
        </w:rPr>
        <w:t xml:space="preserve">Рассматриваемый вариант прогноза, предлагаемый для разработки местного бюджета на 2017 год, </w:t>
      </w:r>
      <w:r w:rsidRPr="00E17273">
        <w:rPr>
          <w:sz w:val="26"/>
          <w:szCs w:val="26"/>
        </w:rPr>
        <w:t>умеренно реалистичный</w:t>
      </w:r>
      <w:r>
        <w:rPr>
          <w:sz w:val="26"/>
          <w:szCs w:val="26"/>
        </w:rPr>
        <w:t>, учитывая действующую ситуацию.</w:t>
      </w:r>
    </w:p>
    <w:p w:rsidR="008C767C" w:rsidRPr="00EE2EBF" w:rsidRDefault="008C767C" w:rsidP="008C767C">
      <w:pPr>
        <w:numPr>
          <w:ilvl w:val="0"/>
          <w:numId w:val="4"/>
        </w:numPr>
        <w:spacing w:before="100" w:beforeAutospacing="1" w:after="100" w:afterAutospacing="1"/>
        <w:ind w:left="0"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Финансовые ресурсы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Сумма налоговых и неналоговых поступлений в 2016 году составит </w:t>
      </w:r>
      <w:r w:rsidRPr="00EE2EBF">
        <w:rPr>
          <w:b/>
          <w:sz w:val="26"/>
          <w:szCs w:val="26"/>
        </w:rPr>
        <w:t>5,6</w:t>
      </w:r>
      <w:r w:rsidRPr="00EE2EBF">
        <w:rPr>
          <w:sz w:val="26"/>
          <w:szCs w:val="26"/>
        </w:rPr>
        <w:t xml:space="preserve"> млн.</w:t>
      </w:r>
      <w:r>
        <w:rPr>
          <w:sz w:val="26"/>
          <w:szCs w:val="26"/>
        </w:rPr>
        <w:t xml:space="preserve"> </w:t>
      </w:r>
      <w:r w:rsidRPr="00EE2EBF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EE2EBF">
        <w:rPr>
          <w:sz w:val="26"/>
          <w:szCs w:val="26"/>
        </w:rPr>
        <w:t xml:space="preserve"> (уменьшение на </w:t>
      </w:r>
      <w:r w:rsidRPr="00EE2EBF">
        <w:rPr>
          <w:b/>
          <w:sz w:val="26"/>
          <w:szCs w:val="26"/>
        </w:rPr>
        <w:t>8,2</w:t>
      </w:r>
      <w:r w:rsidRPr="00EE2EBF">
        <w:rPr>
          <w:sz w:val="26"/>
          <w:szCs w:val="26"/>
        </w:rPr>
        <w:t xml:space="preserve"> % к уровню 2015 года), сумма налоговых поступлений собираемых на территории поселения составит </w:t>
      </w:r>
      <w:r w:rsidRPr="00EE2EBF">
        <w:rPr>
          <w:b/>
          <w:sz w:val="26"/>
          <w:szCs w:val="26"/>
        </w:rPr>
        <w:t>3,33</w:t>
      </w:r>
      <w:r>
        <w:rPr>
          <w:sz w:val="26"/>
          <w:szCs w:val="26"/>
        </w:rPr>
        <w:t xml:space="preserve"> млн. 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В 2017 году сумма налоговых и неналоговых поступлений по прогнозным данным составит </w:t>
      </w:r>
      <w:r w:rsidRPr="00EE2EBF">
        <w:rPr>
          <w:b/>
          <w:sz w:val="26"/>
          <w:szCs w:val="26"/>
        </w:rPr>
        <w:t>4,83</w:t>
      </w:r>
      <w:r w:rsidRPr="00EE2EBF">
        <w:rPr>
          <w:sz w:val="26"/>
          <w:szCs w:val="26"/>
        </w:rPr>
        <w:t xml:space="preserve"> млн. руб</w:t>
      </w:r>
      <w:r>
        <w:rPr>
          <w:sz w:val="26"/>
          <w:szCs w:val="26"/>
        </w:rPr>
        <w:t>лей</w:t>
      </w:r>
      <w:r w:rsidRPr="00EE2EBF">
        <w:rPr>
          <w:sz w:val="26"/>
          <w:szCs w:val="26"/>
        </w:rPr>
        <w:t xml:space="preserve"> (на </w:t>
      </w:r>
      <w:r w:rsidRPr="00EE2EBF">
        <w:rPr>
          <w:b/>
          <w:sz w:val="26"/>
          <w:szCs w:val="26"/>
        </w:rPr>
        <w:t>13,75</w:t>
      </w:r>
      <w:r w:rsidRPr="00EE2EBF">
        <w:rPr>
          <w:sz w:val="26"/>
          <w:szCs w:val="26"/>
        </w:rPr>
        <w:t xml:space="preserve"> % меньше к уровню 2016 года), из них сумма налоговых поступлений </w:t>
      </w:r>
      <w:r w:rsidRPr="00EE2EBF">
        <w:rPr>
          <w:b/>
          <w:sz w:val="26"/>
          <w:szCs w:val="26"/>
        </w:rPr>
        <w:t>3,65</w:t>
      </w:r>
      <w:r w:rsidRPr="00EE2EBF">
        <w:rPr>
          <w:sz w:val="26"/>
          <w:szCs w:val="26"/>
        </w:rPr>
        <w:t xml:space="preserve"> млн. </w:t>
      </w:r>
      <w:r>
        <w:rPr>
          <w:sz w:val="26"/>
          <w:szCs w:val="26"/>
        </w:rPr>
        <w:t>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В 2018, 2019 годах сумма налоговых и неналоговых поступлений по прогнозным данным составит аналогично </w:t>
      </w:r>
      <w:r w:rsidRPr="00EE2EBF">
        <w:rPr>
          <w:b/>
          <w:sz w:val="26"/>
          <w:szCs w:val="26"/>
        </w:rPr>
        <w:t>4,83</w:t>
      </w:r>
      <w:r w:rsidRPr="00EE2EBF">
        <w:rPr>
          <w:sz w:val="26"/>
          <w:szCs w:val="26"/>
        </w:rPr>
        <w:t xml:space="preserve"> млн. руб</w:t>
      </w:r>
      <w:r>
        <w:rPr>
          <w:sz w:val="26"/>
          <w:szCs w:val="26"/>
        </w:rPr>
        <w:t>лей</w:t>
      </w:r>
      <w:r w:rsidRPr="00EE2EBF">
        <w:rPr>
          <w:sz w:val="26"/>
          <w:szCs w:val="26"/>
        </w:rPr>
        <w:t xml:space="preserve"> (уменьшение к уровню 2017,</w:t>
      </w:r>
      <w:r>
        <w:rPr>
          <w:sz w:val="26"/>
          <w:szCs w:val="26"/>
        </w:rPr>
        <w:t xml:space="preserve"> </w:t>
      </w:r>
      <w:r w:rsidRPr="00EE2EBF">
        <w:rPr>
          <w:sz w:val="26"/>
          <w:szCs w:val="26"/>
        </w:rPr>
        <w:t xml:space="preserve">2018 годов </w:t>
      </w:r>
      <w:r w:rsidRPr="00EE2EBF">
        <w:rPr>
          <w:sz w:val="26"/>
          <w:szCs w:val="26"/>
        </w:rPr>
        <w:lastRenderedPageBreak/>
        <w:t xml:space="preserve">не прогнозируется). Сумма налоговых поступлений, собираемых на территории поселения, останется на прежнем уровне и составит </w:t>
      </w:r>
      <w:r w:rsidRPr="00EE2EBF">
        <w:rPr>
          <w:b/>
          <w:sz w:val="26"/>
          <w:szCs w:val="26"/>
        </w:rPr>
        <w:t>3,25</w:t>
      </w:r>
      <w:r w:rsidRPr="00EE2EBF">
        <w:rPr>
          <w:sz w:val="26"/>
          <w:szCs w:val="26"/>
        </w:rPr>
        <w:t xml:space="preserve"> млн. </w:t>
      </w:r>
      <w:r>
        <w:rPr>
          <w:sz w:val="26"/>
          <w:szCs w:val="26"/>
        </w:rPr>
        <w:t>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На основании  внесения изменений в закон Ненецкого автономного округа « О нормативах отчислений от налогов в бюджеты муниципальных образований», в 2017 году установлен дифференцированный норматив отчислений  от акцизов на автомобильный и прямогонный бензин, дизельное топливо, моторные масла для дизельных и (или) карбюраторных двигателей, производимые на территории Российской Федерации, подлежащих зачислению в бюджет Ненецкого автономного округа. Прогнозируемая сумма зачисления в бюджет муниципального образования в 2017 году составит </w:t>
      </w:r>
      <w:r w:rsidRPr="00EE2EBF">
        <w:rPr>
          <w:b/>
          <w:sz w:val="26"/>
          <w:szCs w:val="26"/>
        </w:rPr>
        <w:t>0,4</w:t>
      </w:r>
      <w:r w:rsidRPr="00EE2EBF">
        <w:rPr>
          <w:sz w:val="26"/>
          <w:szCs w:val="26"/>
        </w:rPr>
        <w:t xml:space="preserve"> млн. 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Состояние доходной и расходной частей бюджета характеризуется следующими показателями: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5456F7">
        <w:rPr>
          <w:sz w:val="26"/>
          <w:szCs w:val="26"/>
        </w:rPr>
        <w:t>Планируемые доходы местного бюджета в 2016 году выше первоначального плана на 2016 год на 45 % и составляют по состоянию на 01 ноября 2016 года 71,58 млн. рублей.</w:t>
      </w:r>
      <w:r>
        <w:rPr>
          <w:sz w:val="26"/>
          <w:szCs w:val="26"/>
        </w:rPr>
        <w:t xml:space="preserve"> </w:t>
      </w:r>
      <w:r w:rsidRPr="00EE2EBF">
        <w:rPr>
          <w:sz w:val="26"/>
          <w:szCs w:val="26"/>
        </w:rPr>
        <w:t>По сравнению с 2015 годом в 2016 году идет уменьшение размеров межбюджетных трансфертов в части дотации из окружного бюджета в виду вступления в силу Закона НАО № 95-ОЗ от 19.09.2014г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округа». В 2016 году аналогично сокращены объемы межбюджетных трансфертов в виде субвенций и субсидий.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pacing w:val="-3"/>
          <w:sz w:val="26"/>
          <w:szCs w:val="26"/>
        </w:rPr>
      </w:pPr>
      <w:r w:rsidRPr="00EE2EBF">
        <w:rPr>
          <w:sz w:val="26"/>
          <w:szCs w:val="26"/>
        </w:rPr>
        <w:t xml:space="preserve">Увеличение поступлений от налоговых доходов по сравнению с исполнением за 2015 год составит в сумме </w:t>
      </w:r>
      <w:r w:rsidRPr="00EE2EBF">
        <w:rPr>
          <w:b/>
          <w:sz w:val="26"/>
          <w:szCs w:val="26"/>
        </w:rPr>
        <w:t xml:space="preserve">0,3 </w:t>
      </w:r>
      <w:r w:rsidRPr="00EE2EBF">
        <w:rPr>
          <w:sz w:val="26"/>
          <w:szCs w:val="26"/>
        </w:rPr>
        <w:t>млн. руб</w:t>
      </w:r>
      <w:r>
        <w:rPr>
          <w:sz w:val="26"/>
          <w:szCs w:val="26"/>
        </w:rPr>
        <w:t>лей</w:t>
      </w:r>
      <w:r w:rsidRPr="00EE2EBF">
        <w:rPr>
          <w:sz w:val="26"/>
          <w:szCs w:val="26"/>
        </w:rPr>
        <w:t xml:space="preserve">. Это связано с поступлением в 2016 году единого сельскохозяйственного налога и увеличением поступлений от налога на доходы физических лиц. По поступлениям неналоговых доходов в 2016 году наблюдается снижение на </w:t>
      </w:r>
      <w:r w:rsidRPr="00EE2EBF">
        <w:rPr>
          <w:b/>
          <w:sz w:val="26"/>
          <w:szCs w:val="26"/>
        </w:rPr>
        <w:t xml:space="preserve">0,78 </w:t>
      </w:r>
      <w:r w:rsidRPr="00EE2EBF">
        <w:rPr>
          <w:sz w:val="26"/>
          <w:szCs w:val="26"/>
        </w:rPr>
        <w:t>млн</w:t>
      </w:r>
      <w:r w:rsidRPr="00EE2EBF">
        <w:rPr>
          <w:b/>
          <w:sz w:val="26"/>
          <w:szCs w:val="26"/>
        </w:rPr>
        <w:t>.</w:t>
      </w:r>
      <w:r w:rsidRPr="00EE2EBF"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лей, </w:t>
      </w:r>
      <w:r w:rsidRPr="005456F7">
        <w:rPr>
          <w:spacing w:val="-3"/>
          <w:sz w:val="26"/>
          <w:szCs w:val="26"/>
        </w:rPr>
        <w:t xml:space="preserve">в виду передачей муниципального имущества в собственность муниципального района и уменьшением договоров по аренде муниципального имущества. </w:t>
      </w:r>
      <w:r w:rsidRPr="00EE2EBF">
        <w:rPr>
          <w:spacing w:val="-3"/>
          <w:sz w:val="26"/>
          <w:szCs w:val="26"/>
        </w:rPr>
        <w:t>В целом, в связи с изменениями, внесенными в статью 61.5 «Налоговые доходы бюджетов сельских поселений» Бюджетного Кодекса РФ Федеральным законом от 29.11.2014 №383-ФЗ,  снизились нормативы отчислений в бюджет сельских поселений.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color w:val="000000"/>
          <w:sz w:val="26"/>
          <w:szCs w:val="26"/>
        </w:rPr>
      </w:pPr>
      <w:r w:rsidRPr="00EE2EBF">
        <w:rPr>
          <w:sz w:val="26"/>
          <w:szCs w:val="26"/>
        </w:rPr>
        <w:t>В процессе исполнения бюджета поселения необходимо следить за эффективным расходованием бюджетных средств, а так же обеспечивать увеличение собственных доходов с целью исполнения возложенных на поселение полномочий, а так же расширения возможностей  развития сельского поселения.</w:t>
      </w:r>
      <w:r w:rsidRPr="00EE2EBF">
        <w:rPr>
          <w:color w:val="000000"/>
          <w:sz w:val="26"/>
          <w:szCs w:val="26"/>
        </w:rPr>
        <w:t xml:space="preserve"> Рост доходной части бюджета по средству налоговых доходов имеет проблемный характер. Это связано, в первую очередь, с сильной правовой ограниченностью местных бюджетов в налоговой сфере. В современных условиях реальное решение данной проблемы осуществимо через увеличение поступлений по статьям неналоговых доходов, главным отличием которых от налоговых доходов является отсутствие законодательной базы администрирования.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color w:val="000000"/>
          <w:sz w:val="26"/>
          <w:szCs w:val="26"/>
        </w:rPr>
      </w:pPr>
      <w:r w:rsidRPr="00EE2EBF">
        <w:rPr>
          <w:color w:val="000000"/>
          <w:sz w:val="26"/>
          <w:szCs w:val="26"/>
        </w:rPr>
        <w:t xml:space="preserve">Одним из возможных путей увеличения от неналоговых источников в прогнозируемом периоде может быть увеличение поступлений от имущества и земель, находящихся в муниципальной </w:t>
      </w:r>
      <w:r w:rsidRPr="005456F7">
        <w:rPr>
          <w:color w:val="000000"/>
          <w:sz w:val="26"/>
          <w:szCs w:val="26"/>
        </w:rPr>
        <w:t>собственности</w:t>
      </w:r>
      <w:r>
        <w:rPr>
          <w:b/>
          <w:color w:val="000000"/>
          <w:sz w:val="26"/>
          <w:szCs w:val="26"/>
        </w:rPr>
        <w:t>.</w:t>
      </w:r>
      <w:r w:rsidRPr="00EE2EBF">
        <w:rPr>
          <w:color w:val="000000"/>
          <w:sz w:val="26"/>
          <w:szCs w:val="26"/>
        </w:rPr>
        <w:t xml:space="preserve"> Решением таких проблем может стать </w:t>
      </w:r>
      <w:r w:rsidRPr="00EE2EBF">
        <w:rPr>
          <w:color w:val="000000"/>
          <w:sz w:val="26"/>
          <w:szCs w:val="26"/>
        </w:rPr>
        <w:lastRenderedPageBreak/>
        <w:t>проведение инвентаризации и постановки на муниципальный учет земельных и имущественных объектов. Для этого можно использовать различные способы, а именно: оказать помощь гражданам при оформлении прав собственности на их земельные участки и имущество; создать группы, которые будут заниматься выявлением незарегистрированных объектов недвижимости.</w:t>
      </w:r>
    </w:p>
    <w:p w:rsidR="008C767C" w:rsidRPr="00B831E1" w:rsidRDefault="008C767C" w:rsidP="008C767C">
      <w:pPr>
        <w:spacing w:before="100" w:beforeAutospacing="1" w:after="100" w:afterAutospacing="1"/>
        <w:ind w:firstLine="539"/>
        <w:jc w:val="both"/>
        <w:rPr>
          <w:color w:val="000000"/>
          <w:sz w:val="26"/>
          <w:szCs w:val="26"/>
        </w:rPr>
      </w:pPr>
      <w:r w:rsidRPr="00B831E1">
        <w:rPr>
          <w:color w:val="000000"/>
          <w:sz w:val="26"/>
          <w:szCs w:val="26"/>
        </w:rPr>
        <w:t>Второй мерой увеличения доходов в местный бюджет - </w:t>
      </w:r>
      <w:r w:rsidRPr="00B831E1">
        <w:rPr>
          <w:iCs/>
          <w:color w:val="000000"/>
          <w:sz w:val="26"/>
          <w:szCs w:val="26"/>
        </w:rPr>
        <w:t>переход к</w:t>
      </w:r>
      <w:r w:rsidRPr="00B831E1">
        <w:rPr>
          <w:color w:val="000000"/>
          <w:sz w:val="26"/>
          <w:szCs w:val="26"/>
        </w:rPr>
        <w:t> </w:t>
      </w:r>
      <w:r w:rsidRPr="00B831E1">
        <w:rPr>
          <w:iCs/>
          <w:color w:val="000000"/>
          <w:sz w:val="26"/>
          <w:szCs w:val="26"/>
        </w:rPr>
        <w:t>определению налоговой базы по налогам</w:t>
      </w:r>
      <w:r w:rsidRPr="00B831E1">
        <w:rPr>
          <w:color w:val="000000"/>
          <w:sz w:val="26"/>
          <w:szCs w:val="26"/>
        </w:rPr>
        <w:t> </w:t>
      </w:r>
      <w:r w:rsidRPr="00B831E1">
        <w:rPr>
          <w:iCs/>
          <w:color w:val="000000"/>
          <w:sz w:val="26"/>
          <w:szCs w:val="26"/>
        </w:rPr>
        <w:t>на имущество на основе кадастровой стоимости земельных участков и объектов недвижимости,</w:t>
      </w:r>
      <w:r w:rsidRPr="00B831E1">
        <w:rPr>
          <w:color w:val="000000"/>
          <w:sz w:val="26"/>
          <w:szCs w:val="26"/>
        </w:rPr>
        <w:t> </w:t>
      </w:r>
      <w:r w:rsidRPr="00B831E1">
        <w:rPr>
          <w:iCs/>
          <w:color w:val="000000"/>
          <w:sz w:val="26"/>
          <w:szCs w:val="26"/>
        </w:rPr>
        <w:t>рассчитываемой на основе рыночной стоимости при государственной кадастровой оценке.</w:t>
      </w:r>
      <w:r w:rsidRPr="00B831E1">
        <w:rPr>
          <w:color w:val="000000"/>
          <w:sz w:val="26"/>
          <w:szCs w:val="26"/>
        </w:rPr>
        <w:t xml:space="preserve"> Данная мера является необходимой на наш взгляд, потому как инвентаризационная стоимость объектов налогообложения очень сильно отличается от их рыночной, а причиной этому является отсутствие необходимой информации о рынке недвижимости и о местоположении объекта недвижимости.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color w:val="000000"/>
          <w:sz w:val="26"/>
          <w:szCs w:val="26"/>
        </w:rPr>
      </w:pPr>
      <w:r w:rsidRPr="00EE2EBF">
        <w:rPr>
          <w:color w:val="000000"/>
          <w:sz w:val="26"/>
          <w:szCs w:val="26"/>
        </w:rPr>
        <w:t>С целью увеличения доходов бюджета необходимо усилить контроль за уплатой арендных платежей и ужесточить административную ответственность.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Также предлагается проводить работу по сокращению задолженности по налогам в бюджет, взыскание недоимки.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color w:val="000000"/>
          <w:sz w:val="26"/>
          <w:szCs w:val="26"/>
        </w:rPr>
      </w:pPr>
      <w:r w:rsidRPr="00EE2EBF">
        <w:rPr>
          <w:sz w:val="26"/>
          <w:szCs w:val="26"/>
        </w:rPr>
        <w:t xml:space="preserve">Прогнозируемые расходы местного бюджета в 2016 году по сравнению с 2015 годом увеличились на </w:t>
      </w:r>
      <w:r w:rsidRPr="00EE2EBF">
        <w:rPr>
          <w:b/>
          <w:sz w:val="26"/>
          <w:szCs w:val="26"/>
        </w:rPr>
        <w:t xml:space="preserve">1,68 </w:t>
      </w:r>
      <w:r w:rsidRPr="00EE2EBF">
        <w:rPr>
          <w:sz w:val="26"/>
          <w:szCs w:val="26"/>
        </w:rPr>
        <w:t>млн. рублей.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Общегосударственные расходы в 2015 году составили </w:t>
      </w:r>
      <w:r w:rsidRPr="00EE2EBF">
        <w:rPr>
          <w:b/>
          <w:sz w:val="26"/>
          <w:szCs w:val="26"/>
        </w:rPr>
        <w:t>32,14%</w:t>
      </w:r>
      <w:r w:rsidRPr="00EE2EBF">
        <w:rPr>
          <w:sz w:val="26"/>
          <w:szCs w:val="26"/>
        </w:rPr>
        <w:t xml:space="preserve"> от общих расходов местного бюджета, тогда как в 2016 году по прогнозам составят </w:t>
      </w:r>
      <w:r w:rsidRPr="00EE2EBF">
        <w:rPr>
          <w:b/>
          <w:sz w:val="26"/>
          <w:szCs w:val="26"/>
        </w:rPr>
        <w:t xml:space="preserve">56,58% </w:t>
      </w:r>
      <w:r w:rsidRPr="00EE2EBF">
        <w:rPr>
          <w:sz w:val="26"/>
          <w:szCs w:val="26"/>
        </w:rPr>
        <w:t xml:space="preserve">от общих расходов бюджета. Увеличение связано с предоставлением спонсорской помощи в размере </w:t>
      </w:r>
      <w:r w:rsidRPr="00EE2EBF">
        <w:rPr>
          <w:b/>
          <w:sz w:val="26"/>
          <w:szCs w:val="26"/>
        </w:rPr>
        <w:t>26,95</w:t>
      </w:r>
      <w:r w:rsidRPr="00EE2EBF">
        <w:rPr>
          <w:sz w:val="26"/>
          <w:szCs w:val="26"/>
        </w:rPr>
        <w:t xml:space="preserve"> млн. рублей на приобретение в муниципальную собственность объекта недвижимости. В плановом 2017 году доля общегосударственных расходов составит </w:t>
      </w:r>
      <w:r w:rsidRPr="00EE2EBF">
        <w:rPr>
          <w:b/>
          <w:sz w:val="26"/>
          <w:szCs w:val="26"/>
        </w:rPr>
        <w:t>54,5%</w:t>
      </w:r>
      <w:r w:rsidRPr="00EE2EBF">
        <w:rPr>
          <w:sz w:val="26"/>
          <w:szCs w:val="26"/>
        </w:rPr>
        <w:t xml:space="preserve"> от общих расходов; в 2018 году – </w:t>
      </w:r>
      <w:r w:rsidRPr="00EE2EBF">
        <w:rPr>
          <w:b/>
          <w:sz w:val="26"/>
          <w:szCs w:val="26"/>
        </w:rPr>
        <w:t>54,0</w:t>
      </w:r>
      <w:r w:rsidRPr="00EE2EBF">
        <w:rPr>
          <w:sz w:val="26"/>
          <w:szCs w:val="26"/>
        </w:rPr>
        <w:t xml:space="preserve">% от общих расходов; в 2019 году – </w:t>
      </w:r>
      <w:r w:rsidRPr="00EE2EBF">
        <w:rPr>
          <w:b/>
          <w:sz w:val="26"/>
          <w:szCs w:val="26"/>
        </w:rPr>
        <w:t>54,6</w:t>
      </w:r>
      <w:r w:rsidRPr="00EE2EBF">
        <w:rPr>
          <w:sz w:val="26"/>
          <w:szCs w:val="26"/>
        </w:rPr>
        <w:t xml:space="preserve"> % от общих расходов бюджета. В течение 2017 года прогнозируется снижение доли общегосударственных расходов от общих расходов местного бюджета в виду увеличения расходной части от поступления межбюджетных трансфертов в рамках муниципальных программ.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По сравнению с 2015 годом сокращены объемы расходных обязательств на содержание органов местного самоуправления, в связи с вступлением в силу Постановления Администрации Ненецкого автономного округа</w:t>
      </w:r>
      <w:r w:rsidRPr="00EE2EBF">
        <w:rPr>
          <w:color w:val="FF00FF"/>
          <w:sz w:val="26"/>
          <w:szCs w:val="26"/>
        </w:rPr>
        <w:t xml:space="preserve"> </w:t>
      </w:r>
      <w:r w:rsidRPr="00EE2EBF">
        <w:rPr>
          <w:sz w:val="26"/>
          <w:szCs w:val="26"/>
        </w:rPr>
        <w:t>№ 469-П от 30 декабря 2015 года «О нормативах формиров</w:t>
      </w:r>
      <w:r w:rsidRPr="00EE2EBF">
        <w:rPr>
          <w:sz w:val="26"/>
          <w:szCs w:val="26"/>
        </w:rPr>
        <w:t>а</w:t>
      </w:r>
      <w:r w:rsidRPr="00EE2EBF">
        <w:rPr>
          <w:sz w:val="26"/>
          <w:szCs w:val="26"/>
        </w:rPr>
        <w:t>ния расходов на оплату труда депутатов, выборных должностных лиц местного самоуправл</w:t>
      </w:r>
      <w:r w:rsidRPr="00EE2EBF">
        <w:rPr>
          <w:sz w:val="26"/>
          <w:szCs w:val="26"/>
        </w:rPr>
        <w:t>е</w:t>
      </w:r>
      <w:r w:rsidRPr="00EE2EBF">
        <w:rPr>
          <w:sz w:val="26"/>
          <w:szCs w:val="26"/>
        </w:rPr>
        <w:t>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</w:t>
      </w:r>
      <w:r w:rsidRPr="00EE2EBF">
        <w:rPr>
          <w:sz w:val="26"/>
          <w:szCs w:val="26"/>
        </w:rPr>
        <w:t>у</w:t>
      </w:r>
      <w:r w:rsidRPr="00EE2EBF">
        <w:rPr>
          <w:sz w:val="26"/>
          <w:szCs w:val="26"/>
        </w:rPr>
        <w:t>га на 2016 год».</w:t>
      </w:r>
    </w:p>
    <w:p w:rsidR="008C767C" w:rsidRPr="00EE2EBF" w:rsidRDefault="008C767C" w:rsidP="008C767C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 При разработке прогноза показателей местного бюджета на 2017-2019 годы учитываются как ранее определенные цели развития муниципального образования, так и переориентация приоритетов. Основные направления налоговой и основные направления бюджетной политики направлены на:</w:t>
      </w:r>
    </w:p>
    <w:p w:rsidR="008C767C" w:rsidRPr="00EE2EBF" w:rsidRDefault="008C767C" w:rsidP="008C767C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rPr>
          <w:rFonts w:eastAsia="Calibri"/>
          <w:sz w:val="26"/>
          <w:szCs w:val="26"/>
        </w:rPr>
      </w:pPr>
      <w:r w:rsidRPr="00EE2EBF">
        <w:rPr>
          <w:rFonts w:eastAsia="Calibri"/>
          <w:sz w:val="26"/>
          <w:szCs w:val="26"/>
        </w:rPr>
        <w:t xml:space="preserve"> консервативное бюджетное планирование исходя из возможностей доходного потенциала и минимизации размера дефицита местного бюджета;</w:t>
      </w:r>
    </w:p>
    <w:p w:rsidR="008C767C" w:rsidRPr="00EE2EBF" w:rsidRDefault="008C767C" w:rsidP="008C767C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rPr>
          <w:rFonts w:eastAsia="Calibri"/>
          <w:sz w:val="26"/>
          <w:szCs w:val="26"/>
        </w:rPr>
      </w:pPr>
      <w:r w:rsidRPr="00EE2EBF">
        <w:rPr>
          <w:rFonts w:eastAsia="Calibri"/>
          <w:sz w:val="26"/>
          <w:szCs w:val="26"/>
        </w:rPr>
        <w:lastRenderedPageBreak/>
        <w:t>сохранение и развитие доходных источников местного бюджета;</w:t>
      </w:r>
    </w:p>
    <w:p w:rsidR="008C767C" w:rsidRPr="00EE2EBF" w:rsidRDefault="008C767C" w:rsidP="008C767C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2EBF">
        <w:rPr>
          <w:rFonts w:ascii="Times New Roman" w:hAnsi="Times New Roman" w:cs="Times New Roman"/>
          <w:sz w:val="26"/>
          <w:szCs w:val="26"/>
        </w:rPr>
        <w:t xml:space="preserve">повышение эффективности расходов местного бюджета и </w:t>
      </w:r>
      <w:r w:rsidRPr="00EE2EBF">
        <w:rPr>
          <w:rFonts w:ascii="Times New Roman" w:eastAsia="Calibri" w:hAnsi="Times New Roman" w:cs="Times New Roman"/>
          <w:sz w:val="26"/>
          <w:szCs w:val="26"/>
        </w:rPr>
        <w:t>оптимизация расходных обязательств местного бюджета.</w:t>
      </w:r>
    </w:p>
    <w:p w:rsidR="008C767C" w:rsidRPr="00AF178B" w:rsidRDefault="008C767C" w:rsidP="008C767C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F178B">
        <w:rPr>
          <w:rFonts w:ascii="Times New Roman" w:hAnsi="Times New Roman" w:cs="Times New Roman"/>
          <w:sz w:val="26"/>
          <w:szCs w:val="26"/>
        </w:rPr>
        <w:t>Значительное снижение доходной базы местного бюджета требует выявлени</w:t>
      </w:r>
      <w:r w:rsidRPr="00EE2EBF">
        <w:rPr>
          <w:sz w:val="26"/>
          <w:szCs w:val="26"/>
        </w:rPr>
        <w:t xml:space="preserve">я </w:t>
      </w:r>
      <w:r w:rsidRPr="00AF178B">
        <w:rPr>
          <w:rFonts w:ascii="Times New Roman" w:hAnsi="Times New Roman" w:cs="Times New Roman"/>
          <w:sz w:val="26"/>
          <w:szCs w:val="26"/>
        </w:rPr>
        <w:t xml:space="preserve">резервов экономии расходов местного бюджета и определения четких приоритетов использования бюджетных средств. В связи с чем, при планировании бюджетных ассигнований на 2017 год и на плановый период 2018 и 2019 годов следует детально оценить содержание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AF178B">
        <w:rPr>
          <w:rFonts w:ascii="Times New Roman" w:hAnsi="Times New Roman" w:cs="Times New Roman"/>
          <w:sz w:val="26"/>
          <w:szCs w:val="26"/>
        </w:rPr>
        <w:t xml:space="preserve"> поселения и иных непрограм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F178B">
        <w:rPr>
          <w:rFonts w:ascii="Times New Roman" w:hAnsi="Times New Roman" w:cs="Times New Roman"/>
          <w:sz w:val="26"/>
          <w:szCs w:val="26"/>
        </w:rPr>
        <w:t>ных расходов, соразмерив объемы их финансового обеспечения с реальными возможностями местного бюджета.</w:t>
      </w:r>
    </w:p>
    <w:p w:rsidR="008C767C" w:rsidRPr="00EE2EBF" w:rsidRDefault="008C767C" w:rsidP="008C767C">
      <w:pPr>
        <w:pStyle w:val="ConsPlusNormal"/>
        <w:spacing w:before="100" w:beforeAutospacing="1" w:after="100" w:afterAutospacing="1"/>
        <w:ind w:firstLine="539"/>
        <w:jc w:val="both"/>
        <w:rPr>
          <w:b/>
          <w:sz w:val="26"/>
          <w:szCs w:val="26"/>
        </w:rPr>
      </w:pPr>
      <w:r w:rsidRPr="00AF178B">
        <w:rPr>
          <w:rFonts w:ascii="Times New Roman" w:hAnsi="Times New Roman" w:cs="Times New Roman"/>
          <w:sz w:val="26"/>
          <w:szCs w:val="26"/>
        </w:rPr>
        <w:t xml:space="preserve">При этом необходимо на должном уровне обеспечить исполнение публичных нормативных обязательств и иных гарантированных расходных обязательств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AF178B">
        <w:rPr>
          <w:rFonts w:ascii="Times New Roman" w:hAnsi="Times New Roman" w:cs="Times New Roman"/>
          <w:sz w:val="26"/>
          <w:szCs w:val="26"/>
        </w:rPr>
        <w:t xml:space="preserve"> поселения, одновременно пересмотрев бюджетные затраты на закупку товаров, работ и услуг для муниципальных нужд, объемы субсидий из местного бюджета иным некоммерческим организациям, юридическим лицам (кроме муниципальных учреждений), индивидуальным предпринимателям, физическим лицам, а также иные возможные</w:t>
      </w:r>
      <w:r>
        <w:rPr>
          <w:rFonts w:ascii="Times New Roman" w:hAnsi="Times New Roman" w:cs="Times New Roman"/>
          <w:sz w:val="26"/>
          <w:szCs w:val="26"/>
        </w:rPr>
        <w:t xml:space="preserve"> пути</w:t>
      </w:r>
      <w:r w:rsidRPr="00AF178B">
        <w:rPr>
          <w:rFonts w:ascii="Times New Roman" w:hAnsi="Times New Roman" w:cs="Times New Roman"/>
          <w:sz w:val="26"/>
          <w:szCs w:val="26"/>
        </w:rPr>
        <w:t xml:space="preserve"> к сокращению расход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F178B">
        <w:rPr>
          <w:rFonts w:ascii="Times New Roman" w:hAnsi="Times New Roman" w:cs="Times New Roman"/>
          <w:sz w:val="26"/>
          <w:szCs w:val="26"/>
        </w:rPr>
        <w:t>.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2. Демография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pacing w:val="9"/>
          <w:sz w:val="26"/>
          <w:szCs w:val="26"/>
        </w:rPr>
        <w:t xml:space="preserve">Динамика общей численности населения отражает закономерности в </w:t>
      </w:r>
      <w:r w:rsidRPr="00EE2EBF">
        <w:rPr>
          <w:sz w:val="26"/>
          <w:szCs w:val="26"/>
        </w:rPr>
        <w:t xml:space="preserve">тенденциях формирования его возрастной структуры и естественного </w:t>
      </w:r>
      <w:r w:rsidRPr="00EE2EBF">
        <w:rPr>
          <w:spacing w:val="13"/>
          <w:sz w:val="26"/>
          <w:szCs w:val="26"/>
        </w:rPr>
        <w:t xml:space="preserve">воспроизводства населения, а также в значительной мере зависит от </w:t>
      </w:r>
      <w:r w:rsidRPr="00EE2EBF">
        <w:rPr>
          <w:spacing w:val="4"/>
          <w:sz w:val="26"/>
          <w:szCs w:val="26"/>
        </w:rPr>
        <w:t>направленности и размеров миграционного движения населения.</w:t>
      </w:r>
    </w:p>
    <w:p w:rsidR="008C767C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В 201</w:t>
      </w:r>
      <w:r>
        <w:rPr>
          <w:sz w:val="26"/>
          <w:szCs w:val="26"/>
        </w:rPr>
        <w:t>7</w:t>
      </w:r>
      <w:r w:rsidRPr="00EE2EBF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EE2EBF">
        <w:rPr>
          <w:sz w:val="26"/>
          <w:szCs w:val="26"/>
        </w:rPr>
        <w:t xml:space="preserve"> годах в поселении прогнозируется </w:t>
      </w:r>
      <w:r>
        <w:rPr>
          <w:sz w:val="26"/>
          <w:szCs w:val="26"/>
        </w:rPr>
        <w:t>удовлетворительное</w:t>
      </w:r>
      <w:r w:rsidRPr="00EE2EBF">
        <w:rPr>
          <w:sz w:val="26"/>
          <w:szCs w:val="26"/>
        </w:rPr>
        <w:t xml:space="preserve"> развитие демографической ситуации под влиянием сложившихся тенденций рождаемости, смертности и миграции. Общее сокращение численности населения не планируется, ввиду сложившихся благоприятных факторов проживания в п. Красное (газ, наличие дороги до города Нарьян-Мара), но в тоже время имеет  место миграционный отток населения.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Главная стратегическая цель демографического развития муниципального образования «Приморско-Куйский сельсовет» Н</w:t>
      </w:r>
      <w:r>
        <w:rPr>
          <w:sz w:val="26"/>
          <w:szCs w:val="26"/>
        </w:rPr>
        <w:t>енецкого автономного округа</w:t>
      </w:r>
      <w:r w:rsidRPr="00EE2EBF">
        <w:rPr>
          <w:sz w:val="26"/>
          <w:szCs w:val="26"/>
        </w:rPr>
        <w:t xml:space="preserve">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 – экономические рычаги воздействия. К основным целям демографической политики относятся: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- укрепление семьи и повышение рождаемости;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- увеличение продолжительности жизни и снижение показателя смертности;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- оптимизация миграционных процессов, как внешних, так и внутренних.</w:t>
      </w:r>
    </w:p>
    <w:p w:rsidR="008C767C" w:rsidRPr="00EE2EBF" w:rsidRDefault="008C767C" w:rsidP="008C767C">
      <w:pPr>
        <w:tabs>
          <w:tab w:val="left" w:pos="3248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lastRenderedPageBreak/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других направлений по улучшению качества жизни населения.</w:t>
      </w:r>
    </w:p>
    <w:p w:rsidR="008C767C" w:rsidRPr="00EE2EBF" w:rsidRDefault="008C767C" w:rsidP="008C767C">
      <w:pPr>
        <w:tabs>
          <w:tab w:val="left" w:pos="3248"/>
        </w:tabs>
        <w:spacing w:line="360" w:lineRule="auto"/>
        <w:ind w:firstLine="539"/>
        <w:jc w:val="center"/>
        <w:rPr>
          <w:sz w:val="26"/>
          <w:szCs w:val="26"/>
        </w:rPr>
      </w:pPr>
      <w:r w:rsidRPr="00EE2EBF">
        <w:rPr>
          <w:b/>
          <w:sz w:val="26"/>
          <w:szCs w:val="26"/>
        </w:rPr>
        <w:t>Демография</w:t>
      </w:r>
    </w:p>
    <w:p w:rsidR="008C767C" w:rsidRPr="00EE2EBF" w:rsidRDefault="008C767C" w:rsidP="008C767C">
      <w:pPr>
        <w:spacing w:line="360" w:lineRule="auto"/>
        <w:ind w:firstLine="539"/>
        <w:jc w:val="center"/>
        <w:rPr>
          <w:bCs/>
          <w:sz w:val="26"/>
          <w:szCs w:val="26"/>
        </w:rPr>
      </w:pPr>
      <w:r w:rsidRPr="00EE2EBF">
        <w:rPr>
          <w:b/>
          <w:bCs/>
          <w:sz w:val="26"/>
          <w:szCs w:val="26"/>
        </w:rPr>
        <w:t xml:space="preserve">Численность постоянного населения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564"/>
        <w:gridCol w:w="1496"/>
        <w:gridCol w:w="1260"/>
        <w:gridCol w:w="1260"/>
        <w:gridCol w:w="1260"/>
      </w:tblGrid>
      <w:tr w:rsidR="008C767C" w:rsidRPr="001E1795" w:rsidTr="00F943D8">
        <w:tc>
          <w:tcPr>
            <w:tcW w:w="1980" w:type="dxa"/>
            <w:vMerge w:val="restart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Един</w:t>
            </w:r>
            <w:r>
              <w:rPr>
                <w:b/>
                <w:sz w:val="18"/>
                <w:szCs w:val="18"/>
              </w:rPr>
              <w:t>.</w:t>
            </w:r>
            <w:r w:rsidRPr="00A37314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564" w:type="dxa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1496" w:type="dxa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780" w:type="dxa"/>
            <w:gridSpan w:val="3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Прогноз</w:t>
            </w:r>
          </w:p>
        </w:tc>
      </w:tr>
      <w:tr w:rsidR="008C767C" w:rsidRPr="001E1795" w:rsidTr="00F943D8">
        <w:tc>
          <w:tcPr>
            <w:tcW w:w="1980" w:type="dxa"/>
            <w:vMerge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96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6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6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6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jc w:val="both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Численность</w:t>
            </w:r>
            <w:r>
              <w:rPr>
                <w:sz w:val="20"/>
                <w:szCs w:val="20"/>
              </w:rPr>
              <w:t xml:space="preserve"> </w:t>
            </w:r>
            <w:r w:rsidRPr="001E1795">
              <w:rPr>
                <w:sz w:val="20"/>
                <w:szCs w:val="20"/>
              </w:rPr>
              <w:t>постоянного населения, всего</w:t>
            </w:r>
          </w:p>
        </w:tc>
        <w:tc>
          <w:tcPr>
            <w:tcW w:w="1260" w:type="dxa"/>
          </w:tcPr>
          <w:p w:rsidR="008C767C" w:rsidRPr="001E1795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1496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7411BB">
              <w:rPr>
                <w:sz w:val="20"/>
                <w:szCs w:val="20"/>
              </w:rPr>
              <w:t>1763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7411BB">
              <w:rPr>
                <w:sz w:val="20"/>
                <w:szCs w:val="20"/>
              </w:rPr>
              <w:t>1763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7411BB">
              <w:rPr>
                <w:sz w:val="20"/>
                <w:szCs w:val="20"/>
              </w:rPr>
              <w:t>1763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jc w:val="both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Пенсионеры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</w:pPr>
            <w:r w:rsidRPr="001E1795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496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jc w:val="both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Инвалиды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</w:pPr>
            <w:r w:rsidRPr="001E1795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8C767C" w:rsidRPr="00FE5FFB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96" w:type="dxa"/>
          </w:tcPr>
          <w:p w:rsidR="008C767C" w:rsidRDefault="008C767C" w:rsidP="00F943D8">
            <w:pPr>
              <w:jc w:val="center"/>
            </w:pPr>
            <w:r w:rsidRPr="00E937A9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E937A9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E937A9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E937A9">
              <w:rPr>
                <w:sz w:val="20"/>
                <w:szCs w:val="20"/>
              </w:rPr>
              <w:t>50</w:t>
            </w:r>
          </w:p>
        </w:tc>
      </w:tr>
    </w:tbl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 Социальное и экономическое развитие поселения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3.1. Сельское хозяйство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Основные ожидания положительных 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будет реализовываться ряд мероприятий, направленных на развитие сельского хозяйства. Наибольший удельный вес в общем объеме валового продукта поселка занимает сельское хозяйство. </w:t>
      </w:r>
      <w:r w:rsidRPr="00EE2EBF">
        <w:rPr>
          <w:bCs/>
          <w:iCs/>
          <w:sz w:val="26"/>
          <w:szCs w:val="26"/>
        </w:rPr>
        <w:t>На их долю приходится 48 % от общей суммы</w:t>
      </w:r>
      <w:r w:rsidRPr="00EE2EBF">
        <w:rPr>
          <w:sz w:val="26"/>
          <w:szCs w:val="26"/>
        </w:rPr>
        <w:t xml:space="preserve"> производства товаров, выполнения работ и оказания услуг.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Финансово-хозяйственную деятельность осуществляют сельскохозяйственные предприятия СПК «ХАРП», СПК «ЕРВ». Основные цели деятельности данных предприятий – сохранение животноводства на территории муниципального образования, производство собственной продукции, сохранение рабочих мест. Производственная инфраструктура данных предприятий представлена: СПК «Харп» (оленеводство, животноводство, рыбалка), СПК «Ерв» (оленеводство, рыбалка, сбор дикороссов). Потенциалами развития данных предприятий будут являться:</w:t>
      </w:r>
    </w:p>
    <w:p w:rsidR="008C767C" w:rsidRPr="00EE2EBF" w:rsidRDefault="008C767C" w:rsidP="008C767C">
      <w:pPr>
        <w:numPr>
          <w:ilvl w:val="0"/>
          <w:numId w:val="3"/>
        </w:numPr>
        <w:spacing w:before="100" w:beforeAutospacing="1" w:after="100" w:afterAutospacing="1"/>
        <w:ind w:left="0"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Для СПК «Харп» - строительство (реконструкция) МТФ;</w:t>
      </w:r>
    </w:p>
    <w:p w:rsidR="008C767C" w:rsidRPr="005456F7" w:rsidRDefault="008C767C" w:rsidP="008C767C">
      <w:pPr>
        <w:numPr>
          <w:ilvl w:val="0"/>
          <w:numId w:val="3"/>
        </w:numPr>
        <w:spacing w:before="100" w:beforeAutospacing="1" w:after="100" w:afterAutospacing="1"/>
        <w:ind w:left="0" w:firstLine="539"/>
        <w:jc w:val="both"/>
        <w:rPr>
          <w:sz w:val="26"/>
          <w:szCs w:val="26"/>
        </w:rPr>
      </w:pPr>
      <w:r w:rsidRPr="005456F7">
        <w:rPr>
          <w:sz w:val="26"/>
          <w:szCs w:val="26"/>
        </w:rPr>
        <w:t>Для СПК «Харп» и «Ерв» ввиду того, что имеющееся количество поголовья оленей является оптимальным по отношению к площадям мест выпаса  – налаживание частичной переработки мяса-оленины, рыбы, обработка шкур, реализация побочной продукции оленеводства (камусы, рога), сбор и реализация дикороссов, туризм.</w:t>
      </w:r>
    </w:p>
    <w:p w:rsidR="008C767C" w:rsidRDefault="008C767C" w:rsidP="008C767C">
      <w:pPr>
        <w:spacing w:line="360" w:lineRule="auto"/>
        <w:ind w:firstLine="539"/>
        <w:jc w:val="center"/>
        <w:rPr>
          <w:b/>
          <w:bCs/>
          <w:sz w:val="26"/>
          <w:szCs w:val="26"/>
        </w:rPr>
      </w:pPr>
    </w:p>
    <w:p w:rsidR="008C767C" w:rsidRDefault="008C767C" w:rsidP="008C767C">
      <w:pPr>
        <w:spacing w:line="360" w:lineRule="auto"/>
        <w:ind w:firstLine="539"/>
        <w:jc w:val="center"/>
        <w:rPr>
          <w:b/>
          <w:bCs/>
          <w:sz w:val="26"/>
          <w:szCs w:val="26"/>
        </w:rPr>
      </w:pPr>
    </w:p>
    <w:p w:rsidR="008C767C" w:rsidRPr="00EE2EBF" w:rsidRDefault="008C767C" w:rsidP="008C767C">
      <w:pPr>
        <w:spacing w:line="360" w:lineRule="auto"/>
        <w:ind w:firstLine="539"/>
        <w:jc w:val="center"/>
        <w:rPr>
          <w:sz w:val="26"/>
          <w:szCs w:val="26"/>
        </w:rPr>
      </w:pPr>
      <w:r w:rsidRPr="00EE2EBF">
        <w:rPr>
          <w:b/>
          <w:bCs/>
          <w:sz w:val="26"/>
          <w:szCs w:val="26"/>
        </w:rPr>
        <w:t>Сельское хозяйство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080"/>
        <w:gridCol w:w="1440"/>
        <w:gridCol w:w="1440"/>
        <w:gridCol w:w="1260"/>
        <w:gridCol w:w="1260"/>
        <w:gridCol w:w="1260"/>
        <w:gridCol w:w="1260"/>
      </w:tblGrid>
      <w:tr w:rsidR="008C767C" w:rsidRPr="001E1795" w:rsidTr="00F943D8">
        <w:tc>
          <w:tcPr>
            <w:tcW w:w="1980" w:type="dxa"/>
            <w:vMerge w:val="restart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080" w:type="dxa"/>
            <w:vMerge w:val="restart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Ед.измерения</w:t>
            </w:r>
          </w:p>
        </w:tc>
        <w:tc>
          <w:tcPr>
            <w:tcW w:w="2880" w:type="dxa"/>
            <w:gridSpan w:val="2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Оцен</w:t>
            </w:r>
            <w:r>
              <w:rPr>
                <w:b/>
                <w:sz w:val="18"/>
                <w:szCs w:val="18"/>
              </w:rPr>
              <w:t>-</w:t>
            </w:r>
            <w:r w:rsidRPr="00A37314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3780" w:type="dxa"/>
            <w:gridSpan w:val="3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Прогноз</w:t>
            </w:r>
          </w:p>
        </w:tc>
      </w:tr>
      <w:tr w:rsidR="008C767C" w:rsidRPr="001E1795" w:rsidTr="00F943D8">
        <w:tc>
          <w:tcPr>
            <w:tcW w:w="1980" w:type="dxa"/>
            <w:vMerge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Числ</w:t>
            </w:r>
            <w:r>
              <w:rPr>
                <w:sz w:val="20"/>
                <w:szCs w:val="20"/>
              </w:rPr>
              <w:t>.</w:t>
            </w:r>
          </w:p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работающих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right="-288"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right="-288"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C93131">
              <w:rPr>
                <w:sz w:val="20"/>
                <w:szCs w:val="20"/>
              </w:rPr>
              <w:t>142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C93131">
              <w:rPr>
                <w:sz w:val="20"/>
                <w:szCs w:val="20"/>
              </w:rPr>
              <w:t>142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C93131">
              <w:rPr>
                <w:sz w:val="20"/>
                <w:szCs w:val="20"/>
              </w:rPr>
              <w:t>142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Количество выпускаемой продукции, в т.ч.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1663,9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Сливки</w:t>
            </w:r>
          </w:p>
        </w:tc>
        <w:tc>
          <w:tcPr>
            <w:tcW w:w="108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D31763">
              <w:rPr>
                <w:sz w:val="20"/>
                <w:szCs w:val="20"/>
              </w:rPr>
              <w:t>3,07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D31763">
              <w:rPr>
                <w:sz w:val="20"/>
                <w:szCs w:val="20"/>
              </w:rPr>
              <w:t>3,07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D31763">
              <w:rPr>
                <w:sz w:val="20"/>
                <w:szCs w:val="20"/>
              </w:rPr>
              <w:t>3,07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Масло</w:t>
            </w:r>
          </w:p>
        </w:tc>
        <w:tc>
          <w:tcPr>
            <w:tcW w:w="108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</w:pPr>
            <w:r w:rsidRPr="002C0146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437B1B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8C767C" w:rsidRDefault="008C767C" w:rsidP="00F943D8">
            <w:pPr>
              <w:jc w:val="center"/>
            </w:pPr>
            <w:r w:rsidRPr="00437B1B">
              <w:rPr>
                <w:sz w:val="20"/>
                <w:szCs w:val="20"/>
              </w:rPr>
              <w:t>4,8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080" w:type="dxa"/>
          </w:tcPr>
          <w:p w:rsidR="008C767C" w:rsidRPr="002C0146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Тн.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Мясо</w:t>
            </w:r>
            <w:r>
              <w:rPr>
                <w:sz w:val="20"/>
                <w:szCs w:val="20"/>
              </w:rPr>
              <w:t xml:space="preserve"> (оленина)</w:t>
            </w:r>
          </w:p>
        </w:tc>
        <w:tc>
          <w:tcPr>
            <w:tcW w:w="108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</w:pPr>
            <w:r w:rsidRPr="002C0146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144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230,2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Pr="001E1795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(говядина)</w:t>
            </w:r>
          </w:p>
        </w:tc>
        <w:tc>
          <w:tcPr>
            <w:tcW w:w="1080" w:type="dxa"/>
          </w:tcPr>
          <w:p w:rsidR="008C767C" w:rsidRPr="002C0146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260" w:type="dxa"/>
          </w:tcPr>
          <w:p w:rsidR="008C767C" w:rsidRPr="00A37314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108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8C767C" w:rsidRPr="001E1795" w:rsidTr="00F943D8">
        <w:tc>
          <w:tcPr>
            <w:tcW w:w="1980" w:type="dxa"/>
          </w:tcPr>
          <w:p w:rsidR="008C767C" w:rsidRDefault="008C767C" w:rsidP="00F943D8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</w:t>
            </w:r>
          </w:p>
        </w:tc>
        <w:tc>
          <w:tcPr>
            <w:tcW w:w="108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44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260" w:type="dxa"/>
          </w:tcPr>
          <w:p w:rsidR="008C767C" w:rsidRDefault="008C767C" w:rsidP="00F943D8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</w:tbl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sz w:val="26"/>
          <w:szCs w:val="26"/>
        </w:rPr>
      </w:pPr>
      <w:r w:rsidRPr="00EE2EBF">
        <w:rPr>
          <w:b/>
          <w:sz w:val="26"/>
          <w:szCs w:val="26"/>
        </w:rPr>
        <w:t>3.2. Потребительский комплекс и предпринимательство</w:t>
      </w:r>
    </w:p>
    <w:p w:rsidR="008C767C" w:rsidRPr="00C2798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C2798C">
        <w:rPr>
          <w:sz w:val="26"/>
          <w:szCs w:val="26"/>
        </w:rPr>
        <w:t>Особое внимание необходимо уделить активному развитию потребительского рынка, темпам роста его оборотов. Количество точек предприятий потребительского рынка останется на прежнем уровне, ввиду падения доходов населения и уменьшение оборотов торговли возможно незначительное уменьшение торговых площадей. Розничная торговля также занимает немалый удельный вес в общем объеме валового продукта поселка.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 Основным критерием должен стать рост качественного предоставления услуг населению. Темпы роста оборота розничной торговли носит устойчивый характер. Прежде всего, это связано с повышением: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- культуры потребления;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- уровня требования потребителей, предъявляемых к оказываемым услугам;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- роста активности населения, желающего заниматься предпринимательством.</w:t>
      </w:r>
    </w:p>
    <w:p w:rsidR="008C767C" w:rsidRPr="006B0C60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Численность работающих на предприятиях малого бизнеса составляет </w:t>
      </w:r>
      <w:r>
        <w:rPr>
          <w:sz w:val="26"/>
          <w:szCs w:val="26"/>
        </w:rPr>
        <w:t>60</w:t>
      </w:r>
      <w:r w:rsidRPr="00EE2EBF">
        <w:rPr>
          <w:sz w:val="26"/>
          <w:szCs w:val="26"/>
        </w:rPr>
        <w:t xml:space="preserve"> человек. В Ненецком автономном округе и в Заполярном районе, в частности, проводится работа по имущественной поддержке малого и среднего предпринимательства. Также в нашем муниципальном образовании утверждена Муниципальная программа «Поддержка малого и среднего предпринимательства в муниципальном образовании «Приморско-Куйский сельсовет» НАО, которая будет реализована в 201</w:t>
      </w:r>
      <w:r>
        <w:rPr>
          <w:sz w:val="26"/>
          <w:szCs w:val="26"/>
        </w:rPr>
        <w:t>6</w:t>
      </w:r>
      <w:r w:rsidRPr="00EE2EBF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EE2EBF">
        <w:rPr>
          <w:sz w:val="26"/>
          <w:szCs w:val="26"/>
        </w:rPr>
        <w:t xml:space="preserve">. Основной целью </w:t>
      </w:r>
      <w:r w:rsidRPr="00EE2EBF">
        <w:rPr>
          <w:sz w:val="26"/>
          <w:szCs w:val="26"/>
        </w:rPr>
        <w:lastRenderedPageBreak/>
        <w:t xml:space="preserve">указанного направления является сохранение за субъектами малого предпринимательства арендуемых ими помещений, находящихся в муниципальной собственности, и предоставление им преимущественного права на выкуп данных помещений. </w:t>
      </w:r>
      <w:r w:rsidRPr="006B0C60">
        <w:rPr>
          <w:bCs/>
          <w:color w:val="000000"/>
          <w:sz w:val="26"/>
          <w:szCs w:val="26"/>
        </w:rPr>
        <w:t>В 2016 году планируется п</w:t>
      </w:r>
      <w:r w:rsidRPr="006B0C60">
        <w:rPr>
          <w:bCs/>
          <w:sz w:val="26"/>
          <w:szCs w:val="26"/>
        </w:rPr>
        <w:t>олучение до 2 патентов на ведение предпринимательской деятельности. Соответственно может быть зарегистрировано до двух дополнительных  предпринимателей.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Формы поддержки малого предпринимательства на территории муниципального образования остаются такие, как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и среднего предпринимательства; привлечение предпринимателей к участию в выездных выставках инвестиционных проектов субъектов малого и среднего предпринимательства. 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Дальнейшему положительному развитию малого предпринимательства будут способствовать меры государственной и муниципальной поддержки, предусмотренные федеральным, региональным и местным законодательством. Развитие рынка товаров и услуг в прогнозируемом периоде будет происходить с сохранением позитивных тенденций, наметившихся в предыдущие годы.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3.3. Инвестиции, развитие территории</w:t>
      </w:r>
    </w:p>
    <w:p w:rsidR="008C767C" w:rsidRPr="006B0C60" w:rsidRDefault="008C767C" w:rsidP="008C767C">
      <w:pPr>
        <w:pStyle w:val="21"/>
        <w:spacing w:before="100" w:beforeAutospacing="1" w:after="100" w:afterAutospacing="1" w:line="240" w:lineRule="auto"/>
        <w:ind w:left="0"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Одним из факторов экономического роста и создания дополнительных рабочих мест являются вложения в основной капитал. В 201</w:t>
      </w:r>
      <w:r>
        <w:rPr>
          <w:sz w:val="26"/>
          <w:szCs w:val="26"/>
        </w:rPr>
        <w:t>7</w:t>
      </w:r>
      <w:r w:rsidRPr="00EE2EBF">
        <w:rPr>
          <w:sz w:val="26"/>
          <w:szCs w:val="26"/>
        </w:rPr>
        <w:t xml:space="preserve"> году и плановом периоде 201</w:t>
      </w:r>
      <w:r>
        <w:rPr>
          <w:sz w:val="26"/>
          <w:szCs w:val="26"/>
        </w:rPr>
        <w:t>8</w:t>
      </w:r>
      <w:r w:rsidRPr="00EE2EBF">
        <w:rPr>
          <w:sz w:val="26"/>
          <w:szCs w:val="26"/>
        </w:rPr>
        <w:t xml:space="preserve"> и </w:t>
      </w:r>
      <w:r w:rsidRPr="00D1580B">
        <w:rPr>
          <w:sz w:val="26"/>
          <w:szCs w:val="26"/>
        </w:rPr>
        <w:t>2019 годах не прогнозируется рост объема инвестиций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6B0C60">
        <w:rPr>
          <w:sz w:val="26"/>
          <w:szCs w:val="26"/>
        </w:rPr>
        <w:t>поскольку основные объекты были построены в предыдущем периоде.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b/>
        </w:rPr>
      </w:pPr>
      <w:r w:rsidRPr="00EE2EBF">
        <w:rPr>
          <w:sz w:val="26"/>
          <w:szCs w:val="26"/>
        </w:rPr>
        <w:t>В 201</w:t>
      </w:r>
      <w:r>
        <w:rPr>
          <w:sz w:val="26"/>
          <w:szCs w:val="26"/>
        </w:rPr>
        <w:t>5</w:t>
      </w:r>
      <w:r w:rsidRPr="00EE2EBF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в рамках муниципальной программы </w:t>
      </w:r>
      <w:r w:rsidRPr="00062598">
        <w:rPr>
          <w:sz w:val="26"/>
          <w:szCs w:val="26"/>
        </w:rPr>
        <w:t>«Защита населения и территории  от ЧС, обеспечение пожарной безопасн</w:t>
      </w:r>
      <w:r w:rsidRPr="00062598">
        <w:rPr>
          <w:sz w:val="26"/>
          <w:szCs w:val="26"/>
        </w:rPr>
        <w:t>о</w:t>
      </w:r>
      <w:r w:rsidRPr="00062598">
        <w:rPr>
          <w:sz w:val="26"/>
          <w:szCs w:val="26"/>
        </w:rPr>
        <w:t>сти и безопасности на водных объектах, антитеррористическая защищенность на терр</w:t>
      </w:r>
      <w:r w:rsidRPr="00062598">
        <w:rPr>
          <w:sz w:val="26"/>
          <w:szCs w:val="26"/>
        </w:rPr>
        <w:t>и</w:t>
      </w:r>
      <w:r w:rsidRPr="00062598">
        <w:rPr>
          <w:sz w:val="26"/>
          <w:szCs w:val="26"/>
        </w:rPr>
        <w:t>тории муниципального района «Заполярный район» на 2014-2020 г</w:t>
      </w:r>
      <w:r w:rsidRPr="00062598">
        <w:rPr>
          <w:sz w:val="26"/>
          <w:szCs w:val="26"/>
        </w:rPr>
        <w:t>о</w:t>
      </w:r>
      <w:r w:rsidRPr="00062598">
        <w:rPr>
          <w:sz w:val="26"/>
          <w:szCs w:val="26"/>
        </w:rPr>
        <w:t>ды»</w:t>
      </w:r>
      <w:r>
        <w:rPr>
          <w:sz w:val="26"/>
          <w:szCs w:val="26"/>
        </w:rPr>
        <w:t xml:space="preserve"> о</w:t>
      </w:r>
      <w:r>
        <w:t>существлены расходы на с</w:t>
      </w:r>
      <w:r w:rsidRPr="009B54BC">
        <w:t>троительство пожарного резервуара и устройство разворо</w:t>
      </w:r>
      <w:r w:rsidRPr="009B54BC">
        <w:t>т</w:t>
      </w:r>
      <w:r w:rsidRPr="009B54BC">
        <w:t>ной площадки в районе дома №</w:t>
      </w:r>
      <w:r>
        <w:t xml:space="preserve"> </w:t>
      </w:r>
      <w:r w:rsidRPr="009B54BC">
        <w:t>2 по ул. Пролетарская</w:t>
      </w:r>
      <w:r>
        <w:t>,</w:t>
      </w:r>
      <w:r w:rsidRPr="009B54BC">
        <w:t xml:space="preserve"> в п. Красное</w:t>
      </w:r>
      <w:r>
        <w:t>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В 201</w:t>
      </w:r>
      <w:r>
        <w:rPr>
          <w:sz w:val="26"/>
          <w:szCs w:val="26"/>
        </w:rPr>
        <w:t>6</w:t>
      </w:r>
      <w:r w:rsidRPr="00EE2EBF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объем инвестиций в основной капитал составит в сумме </w:t>
      </w:r>
      <w:r w:rsidRPr="00062598">
        <w:rPr>
          <w:b/>
          <w:sz w:val="26"/>
          <w:szCs w:val="26"/>
        </w:rPr>
        <w:t>26,94</w:t>
      </w:r>
      <w:r>
        <w:rPr>
          <w:sz w:val="26"/>
          <w:szCs w:val="26"/>
        </w:rPr>
        <w:t xml:space="preserve"> млн. рублей. Приобретено здание «Дом ремесел» в муниципальную собственность, сумма инвестиций </w:t>
      </w:r>
      <w:r w:rsidRPr="00380524">
        <w:rPr>
          <w:b/>
          <w:sz w:val="26"/>
          <w:szCs w:val="26"/>
        </w:rPr>
        <w:t>25,17</w:t>
      </w:r>
      <w:r>
        <w:rPr>
          <w:sz w:val="26"/>
          <w:szCs w:val="26"/>
        </w:rPr>
        <w:t xml:space="preserve"> млн. рублей. П</w:t>
      </w:r>
      <w:r w:rsidRPr="00EE2EBF">
        <w:rPr>
          <w:sz w:val="26"/>
          <w:szCs w:val="26"/>
        </w:rPr>
        <w:t>остроен пожарный резервуар</w:t>
      </w:r>
      <w:r>
        <w:rPr>
          <w:sz w:val="26"/>
          <w:szCs w:val="26"/>
        </w:rPr>
        <w:t xml:space="preserve"> с разворотными площадками</w:t>
      </w:r>
      <w:r w:rsidRPr="00EE2EBF">
        <w:rPr>
          <w:sz w:val="26"/>
          <w:szCs w:val="26"/>
        </w:rPr>
        <w:t xml:space="preserve">, стоимость инвестиций в основной капитал составит </w:t>
      </w:r>
      <w:r w:rsidRPr="00380524">
        <w:rPr>
          <w:b/>
          <w:sz w:val="26"/>
          <w:szCs w:val="26"/>
        </w:rPr>
        <w:t>1,77</w:t>
      </w:r>
      <w:r>
        <w:rPr>
          <w:sz w:val="26"/>
          <w:szCs w:val="26"/>
        </w:rPr>
        <w:t xml:space="preserve"> млн. 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6B0C60">
        <w:rPr>
          <w:sz w:val="26"/>
          <w:szCs w:val="26"/>
        </w:rPr>
        <w:t>За 2015 год индивидуальное жилищное строительство осуществлялось в рамках ранее выданных разрешений на строительство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EE2EBF">
        <w:rPr>
          <w:sz w:val="26"/>
          <w:szCs w:val="26"/>
        </w:rPr>
        <w:t>В 201</w:t>
      </w:r>
      <w:r>
        <w:rPr>
          <w:sz w:val="26"/>
          <w:szCs w:val="26"/>
        </w:rPr>
        <w:t>6</w:t>
      </w:r>
      <w:r w:rsidRPr="00EE2EBF">
        <w:rPr>
          <w:sz w:val="26"/>
          <w:szCs w:val="26"/>
        </w:rPr>
        <w:t xml:space="preserve"> году наблюдается тенденция увеличения на </w:t>
      </w:r>
      <w:r>
        <w:rPr>
          <w:b/>
          <w:sz w:val="26"/>
          <w:szCs w:val="26"/>
        </w:rPr>
        <w:t xml:space="preserve">385,7 </w:t>
      </w:r>
      <w:r w:rsidRPr="00EE2EBF">
        <w:rPr>
          <w:sz w:val="26"/>
          <w:szCs w:val="26"/>
        </w:rPr>
        <w:t>кв.м.</w:t>
      </w:r>
      <w:r>
        <w:rPr>
          <w:sz w:val="26"/>
          <w:szCs w:val="26"/>
        </w:rPr>
        <w:t xml:space="preserve"> В 2017 году прогнозируется построить </w:t>
      </w:r>
      <w:r w:rsidRPr="005A7816">
        <w:rPr>
          <w:b/>
          <w:sz w:val="26"/>
          <w:szCs w:val="26"/>
        </w:rPr>
        <w:t>1222,4</w:t>
      </w:r>
      <w:r>
        <w:rPr>
          <w:sz w:val="26"/>
          <w:szCs w:val="26"/>
        </w:rPr>
        <w:t xml:space="preserve"> кв.м. жилых домов, из них индивидуальное строительство – </w:t>
      </w:r>
      <w:r w:rsidRPr="005A7816">
        <w:rPr>
          <w:b/>
          <w:sz w:val="26"/>
          <w:szCs w:val="26"/>
        </w:rPr>
        <w:t>242,7</w:t>
      </w:r>
      <w:r>
        <w:rPr>
          <w:sz w:val="26"/>
          <w:szCs w:val="26"/>
        </w:rPr>
        <w:t xml:space="preserve"> кв.м.</w:t>
      </w:r>
    </w:p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  <w:bCs/>
        </w:rPr>
      </w:pPr>
    </w:p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  <w:bCs/>
        </w:rPr>
      </w:pPr>
      <w:r>
        <w:rPr>
          <w:b/>
          <w:bCs/>
        </w:rPr>
        <w:t>Строительство</w:t>
      </w:r>
    </w:p>
    <w:p w:rsidR="008C767C" w:rsidRPr="006908A7" w:rsidRDefault="008C767C" w:rsidP="008C767C">
      <w:pPr>
        <w:ind w:firstLine="539"/>
        <w:jc w:val="center"/>
        <w:rPr>
          <w:color w:val="444455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080"/>
        <w:gridCol w:w="236"/>
        <w:gridCol w:w="1316"/>
        <w:gridCol w:w="1552"/>
        <w:gridCol w:w="1328"/>
        <w:gridCol w:w="1328"/>
        <w:gridCol w:w="1440"/>
      </w:tblGrid>
      <w:tr w:rsidR="008C767C" w:rsidTr="00F943D8">
        <w:tc>
          <w:tcPr>
            <w:tcW w:w="2340" w:type="dxa"/>
            <w:vMerge w:val="restart"/>
          </w:tcPr>
          <w:p w:rsidR="008C767C" w:rsidRPr="001E1795" w:rsidRDefault="008C767C" w:rsidP="00F943D8">
            <w:pPr>
              <w:ind w:firstLine="539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:rsidR="008C767C" w:rsidRPr="001E1795" w:rsidRDefault="008C767C" w:rsidP="00F943D8">
            <w:pPr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  <w:r w:rsidRPr="001E1795">
              <w:rPr>
                <w:sz w:val="18"/>
                <w:szCs w:val="18"/>
              </w:rPr>
              <w:t xml:space="preserve"> измерения</w:t>
            </w:r>
          </w:p>
        </w:tc>
        <w:tc>
          <w:tcPr>
            <w:tcW w:w="1552" w:type="dxa"/>
            <w:gridSpan w:val="2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Отчет</w:t>
            </w:r>
          </w:p>
        </w:tc>
        <w:tc>
          <w:tcPr>
            <w:tcW w:w="1552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Оценка</w:t>
            </w:r>
          </w:p>
        </w:tc>
        <w:tc>
          <w:tcPr>
            <w:tcW w:w="4096" w:type="dxa"/>
            <w:gridSpan w:val="3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Прогноз</w:t>
            </w:r>
          </w:p>
        </w:tc>
      </w:tr>
      <w:tr w:rsidR="008C767C" w:rsidTr="00F943D8">
        <w:tc>
          <w:tcPr>
            <w:tcW w:w="2340" w:type="dxa"/>
            <w:vMerge/>
          </w:tcPr>
          <w:p w:rsidR="008C767C" w:rsidRPr="001E1795" w:rsidRDefault="008C767C" w:rsidP="00F943D8">
            <w:pPr>
              <w:ind w:firstLine="539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8C767C" w:rsidRPr="001E1795" w:rsidRDefault="008C767C" w:rsidP="00F943D8">
            <w:pPr>
              <w:ind w:firstLine="539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552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328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28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8C767C" w:rsidTr="00F943D8">
        <w:tc>
          <w:tcPr>
            <w:tcW w:w="234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36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0,0</w:t>
            </w:r>
          </w:p>
        </w:tc>
        <w:tc>
          <w:tcPr>
            <w:tcW w:w="1552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8</w:t>
            </w:r>
          </w:p>
        </w:tc>
      </w:tr>
      <w:tr w:rsidR="008C767C" w:rsidTr="00F943D8">
        <w:tc>
          <w:tcPr>
            <w:tcW w:w="234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Кв.м. общей площади</w:t>
            </w:r>
          </w:p>
        </w:tc>
        <w:tc>
          <w:tcPr>
            <w:tcW w:w="236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0,0</w:t>
            </w:r>
          </w:p>
        </w:tc>
        <w:tc>
          <w:tcPr>
            <w:tcW w:w="1552" w:type="dxa"/>
          </w:tcPr>
          <w:p w:rsidR="008C767C" w:rsidRPr="00086CC4" w:rsidRDefault="008C767C" w:rsidP="00F943D8">
            <w:pPr>
              <w:ind w:left="4" w:firstLine="535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385,7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1222,4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1222,4</w:t>
            </w:r>
          </w:p>
        </w:tc>
        <w:tc>
          <w:tcPr>
            <w:tcW w:w="1440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1222,4</w:t>
            </w:r>
          </w:p>
        </w:tc>
      </w:tr>
      <w:tr w:rsidR="008C767C" w:rsidTr="00F943D8">
        <w:tc>
          <w:tcPr>
            <w:tcW w:w="234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 том числе индивидуальные жилые дома, построенные населением за счет собственных (или) кредитных средств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36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0,0</w:t>
            </w:r>
          </w:p>
        </w:tc>
        <w:tc>
          <w:tcPr>
            <w:tcW w:w="1552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67C" w:rsidTr="00F943D8">
        <w:tc>
          <w:tcPr>
            <w:tcW w:w="234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 том числе индивидуальные жилые дома, построенные населением за счет собственных (или) кредитных средств</w:t>
            </w:r>
          </w:p>
        </w:tc>
        <w:tc>
          <w:tcPr>
            <w:tcW w:w="1080" w:type="dxa"/>
          </w:tcPr>
          <w:p w:rsidR="008C767C" w:rsidRPr="001E1795" w:rsidRDefault="008C767C" w:rsidP="00F943D8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Кв.м. общей площади</w:t>
            </w:r>
          </w:p>
        </w:tc>
        <w:tc>
          <w:tcPr>
            <w:tcW w:w="236" w:type="dxa"/>
          </w:tcPr>
          <w:p w:rsidR="008C767C" w:rsidRPr="001E1795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0,0</w:t>
            </w:r>
          </w:p>
        </w:tc>
        <w:tc>
          <w:tcPr>
            <w:tcW w:w="1552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 w:rsidRPr="00086CC4">
              <w:rPr>
                <w:sz w:val="20"/>
                <w:szCs w:val="20"/>
              </w:rPr>
              <w:t>170,7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</w:t>
            </w:r>
          </w:p>
        </w:tc>
        <w:tc>
          <w:tcPr>
            <w:tcW w:w="1328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</w:t>
            </w:r>
          </w:p>
        </w:tc>
        <w:tc>
          <w:tcPr>
            <w:tcW w:w="1440" w:type="dxa"/>
          </w:tcPr>
          <w:p w:rsidR="008C767C" w:rsidRPr="00086CC4" w:rsidRDefault="008C767C" w:rsidP="00F943D8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</w:t>
            </w:r>
          </w:p>
        </w:tc>
      </w:tr>
    </w:tbl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3.4. Жилищно-коммунальное хозяйство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2017 году будет проводиться ремонт жилого дома № 4 по улице Северная.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средств составит </w:t>
      </w:r>
      <w:r w:rsidRPr="00577AD1">
        <w:rPr>
          <w:b/>
          <w:sz w:val="26"/>
          <w:szCs w:val="26"/>
        </w:rPr>
        <w:t>0,6</w:t>
      </w:r>
      <w:r>
        <w:rPr>
          <w:sz w:val="26"/>
          <w:szCs w:val="26"/>
        </w:rPr>
        <w:t xml:space="preserve"> млн. рублей.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2016 году по муниципальной программе «</w:t>
      </w:r>
      <w:r w:rsidRPr="00923974">
        <w:rPr>
          <w:sz w:val="26"/>
          <w:szCs w:val="26"/>
        </w:rPr>
        <w:t xml:space="preserve">Обеспечение населения МО </w:t>
      </w:r>
      <w:r>
        <w:rPr>
          <w:sz w:val="26"/>
          <w:szCs w:val="26"/>
        </w:rPr>
        <w:t>«</w:t>
      </w:r>
      <w:r w:rsidRPr="00923974">
        <w:rPr>
          <w:sz w:val="26"/>
          <w:szCs w:val="26"/>
        </w:rPr>
        <w:t>Муниципальный район</w:t>
      </w:r>
      <w:r>
        <w:rPr>
          <w:sz w:val="26"/>
          <w:szCs w:val="26"/>
        </w:rPr>
        <w:t>»</w:t>
      </w:r>
      <w:r w:rsidRPr="00923974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</w:t>
      </w:r>
      <w:r w:rsidRPr="00923974">
        <w:rPr>
          <w:sz w:val="26"/>
          <w:szCs w:val="26"/>
        </w:rPr>
        <w:t xml:space="preserve"> чистой водой</w:t>
      </w:r>
      <w:r>
        <w:rPr>
          <w:sz w:val="26"/>
          <w:szCs w:val="26"/>
        </w:rPr>
        <w:t>»</w:t>
      </w:r>
      <w:r w:rsidRPr="009239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будут  закончены работы по обустройству двух питьевых колодцев в поселке Красное, в деревне Куя – одного. Сумма выделенных средств по данному направлению составит </w:t>
      </w:r>
      <w:r w:rsidRPr="00923974">
        <w:rPr>
          <w:b/>
          <w:sz w:val="26"/>
          <w:szCs w:val="26"/>
        </w:rPr>
        <w:t>0,3</w:t>
      </w:r>
      <w:r>
        <w:rPr>
          <w:sz w:val="26"/>
          <w:szCs w:val="26"/>
        </w:rPr>
        <w:t xml:space="preserve"> млн. рублей.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«</w:t>
      </w:r>
      <w:r w:rsidRPr="00451E3F">
        <w:rPr>
          <w:sz w:val="26"/>
          <w:szCs w:val="26"/>
        </w:rPr>
        <w:t xml:space="preserve">Энергоэффективность и развитие энергетики муниципального района </w:t>
      </w:r>
      <w:r>
        <w:rPr>
          <w:sz w:val="26"/>
          <w:szCs w:val="26"/>
        </w:rPr>
        <w:t>«</w:t>
      </w:r>
      <w:r w:rsidRPr="00451E3F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</w:t>
      </w:r>
      <w:r w:rsidRPr="00451E3F">
        <w:rPr>
          <w:sz w:val="26"/>
          <w:szCs w:val="26"/>
        </w:rPr>
        <w:t xml:space="preserve"> на 2014-2016 годы</w:t>
      </w:r>
      <w:r>
        <w:rPr>
          <w:sz w:val="26"/>
          <w:szCs w:val="26"/>
        </w:rPr>
        <w:t xml:space="preserve">» будут закончены работы по ремонту низковольтных линий электропередач </w:t>
      </w:r>
      <w:r w:rsidRPr="00451E3F">
        <w:rPr>
          <w:sz w:val="26"/>
          <w:szCs w:val="26"/>
        </w:rPr>
        <w:t>(район ул. Центральная, Мира</w:t>
      </w:r>
      <w:r>
        <w:rPr>
          <w:sz w:val="26"/>
          <w:szCs w:val="26"/>
        </w:rPr>
        <w:t xml:space="preserve"> поселок Красное; </w:t>
      </w:r>
      <w:r w:rsidRPr="00451E3F">
        <w:rPr>
          <w:sz w:val="26"/>
          <w:szCs w:val="26"/>
        </w:rPr>
        <w:t>участок</w:t>
      </w:r>
      <w:r>
        <w:rPr>
          <w:sz w:val="26"/>
          <w:szCs w:val="26"/>
        </w:rPr>
        <w:t xml:space="preserve"> ТП-3- пришкольный интернат, ул. Школьная, дом 3 поселок Красное). Сумма</w:t>
      </w:r>
      <w:r w:rsidRPr="006F5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выделенных средств по данному направлению составит </w:t>
      </w:r>
      <w:r>
        <w:rPr>
          <w:b/>
          <w:sz w:val="26"/>
          <w:szCs w:val="26"/>
        </w:rPr>
        <w:t>2,95</w:t>
      </w:r>
      <w:r>
        <w:rPr>
          <w:sz w:val="26"/>
          <w:szCs w:val="26"/>
        </w:rPr>
        <w:t xml:space="preserve"> млн. рублей.</w:t>
      </w:r>
    </w:p>
    <w:p w:rsidR="008C767C" w:rsidRPr="006F5BB9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муниципальной программе «</w:t>
      </w:r>
      <w:r w:rsidRPr="006F5BB9">
        <w:rPr>
          <w:sz w:val="26"/>
          <w:szCs w:val="26"/>
        </w:rPr>
        <w:t xml:space="preserve"> Поддержка муниципальных образований в сфере обращения с отходами производства и потребления на территории муниципального района </w:t>
      </w:r>
      <w:r>
        <w:rPr>
          <w:sz w:val="26"/>
          <w:szCs w:val="26"/>
        </w:rPr>
        <w:t>«</w:t>
      </w:r>
      <w:r w:rsidRPr="006F5BB9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</w:t>
      </w:r>
      <w:r w:rsidRPr="006F5BB9">
        <w:rPr>
          <w:sz w:val="26"/>
          <w:szCs w:val="26"/>
        </w:rPr>
        <w:t xml:space="preserve"> на 2015-2016 годы</w:t>
      </w:r>
      <w:r>
        <w:rPr>
          <w:sz w:val="26"/>
          <w:szCs w:val="26"/>
        </w:rPr>
        <w:t xml:space="preserve">» реализованы мероприятия по содержанию территории свалки. Сумма выделенных средств по данному направлению составит </w:t>
      </w:r>
      <w:r>
        <w:rPr>
          <w:b/>
          <w:sz w:val="26"/>
          <w:szCs w:val="26"/>
        </w:rPr>
        <w:t>0,5</w:t>
      </w:r>
      <w:r>
        <w:rPr>
          <w:sz w:val="26"/>
          <w:szCs w:val="26"/>
        </w:rPr>
        <w:t xml:space="preserve"> млн. 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lastRenderedPageBreak/>
        <w:t>Будут сохранены на дальнейшую перспективу субсидии предприятию МУП «Коммунальщик» на возмещение затрат при оказании сельскому населению услуг общественных бань.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Проводятся и планируются работы по организации сбора и вывоза твердых </w:t>
      </w:r>
      <w:r>
        <w:rPr>
          <w:sz w:val="26"/>
          <w:szCs w:val="26"/>
        </w:rPr>
        <w:t>коммунальных</w:t>
      </w:r>
      <w:r w:rsidRPr="00EE2EBF">
        <w:rPr>
          <w:sz w:val="26"/>
          <w:szCs w:val="26"/>
        </w:rPr>
        <w:t xml:space="preserve"> отходов</w:t>
      </w:r>
      <w:r>
        <w:rPr>
          <w:sz w:val="26"/>
          <w:szCs w:val="26"/>
        </w:rPr>
        <w:t xml:space="preserve"> с территории поселка</w:t>
      </w:r>
      <w:r w:rsidRPr="00EE2EBF">
        <w:rPr>
          <w:sz w:val="26"/>
          <w:szCs w:val="26"/>
        </w:rPr>
        <w:t xml:space="preserve"> Красное при помощи спецтехники – мусоровоза. 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Также приоритетное направление на 201</w:t>
      </w:r>
      <w:r>
        <w:rPr>
          <w:sz w:val="26"/>
          <w:szCs w:val="26"/>
        </w:rPr>
        <w:t>7</w:t>
      </w:r>
      <w:r w:rsidRPr="00EE2EBF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EE2EBF">
        <w:rPr>
          <w:sz w:val="26"/>
          <w:szCs w:val="26"/>
        </w:rPr>
        <w:t xml:space="preserve"> года будет занимать организация благоустройства на территории муниципального образования.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3.5. Социальная сфера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В состав </w:t>
      </w:r>
      <w:r>
        <w:rPr>
          <w:sz w:val="26"/>
          <w:szCs w:val="26"/>
        </w:rPr>
        <w:t xml:space="preserve">муниципального образования </w:t>
      </w:r>
      <w:r w:rsidRPr="00EE2EBF">
        <w:rPr>
          <w:sz w:val="26"/>
          <w:szCs w:val="26"/>
        </w:rPr>
        <w:t>«Приморско-Куйский сельсовет» Н</w:t>
      </w:r>
      <w:r>
        <w:rPr>
          <w:sz w:val="26"/>
          <w:szCs w:val="26"/>
        </w:rPr>
        <w:t>енецкого автономного округа</w:t>
      </w:r>
      <w:r w:rsidRPr="00EE2EBF">
        <w:rPr>
          <w:sz w:val="26"/>
          <w:szCs w:val="26"/>
        </w:rPr>
        <w:t xml:space="preserve"> входят населенные пункты: п</w:t>
      </w:r>
      <w:r>
        <w:rPr>
          <w:sz w:val="26"/>
          <w:szCs w:val="26"/>
        </w:rPr>
        <w:t xml:space="preserve">оселок </w:t>
      </w:r>
      <w:r w:rsidRPr="00EE2EBF">
        <w:rPr>
          <w:sz w:val="26"/>
          <w:szCs w:val="26"/>
        </w:rPr>
        <w:t>Красное, д</w:t>
      </w:r>
      <w:r>
        <w:rPr>
          <w:sz w:val="26"/>
          <w:szCs w:val="26"/>
        </w:rPr>
        <w:t xml:space="preserve">еревня </w:t>
      </w:r>
      <w:r w:rsidRPr="00EE2EBF">
        <w:rPr>
          <w:sz w:val="26"/>
          <w:szCs w:val="26"/>
        </w:rPr>
        <w:t>Куя, д</w:t>
      </w:r>
      <w:r>
        <w:rPr>
          <w:sz w:val="26"/>
          <w:szCs w:val="26"/>
        </w:rPr>
        <w:t xml:space="preserve">еревня </w:t>
      </w:r>
      <w:r w:rsidRPr="00EE2EBF">
        <w:rPr>
          <w:sz w:val="26"/>
          <w:szCs w:val="26"/>
        </w:rPr>
        <w:t>Осколково, д</w:t>
      </w:r>
      <w:r>
        <w:rPr>
          <w:sz w:val="26"/>
          <w:szCs w:val="26"/>
        </w:rPr>
        <w:t>еревня</w:t>
      </w:r>
      <w:r w:rsidRPr="00EE2EBF">
        <w:rPr>
          <w:sz w:val="26"/>
          <w:szCs w:val="26"/>
        </w:rPr>
        <w:t xml:space="preserve"> Чёрная. Административным центром является поселок Красное.</w:t>
      </w:r>
    </w:p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</w:rPr>
      </w:pPr>
    </w:p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</w:rPr>
      </w:pPr>
      <w:r w:rsidRPr="006D22FC">
        <w:rPr>
          <w:b/>
        </w:rPr>
        <w:t>Социальная инфраструктура представлена в таблице</w:t>
      </w:r>
    </w:p>
    <w:tbl>
      <w:tblPr>
        <w:tblW w:w="1027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5"/>
        <w:gridCol w:w="1576"/>
        <w:gridCol w:w="1304"/>
        <w:gridCol w:w="1440"/>
        <w:gridCol w:w="1172"/>
        <w:gridCol w:w="1803"/>
        <w:gridCol w:w="1525"/>
      </w:tblGrid>
      <w:tr w:rsidR="008C767C" w:rsidRPr="006D22FC" w:rsidTr="00F943D8">
        <w:trPr>
          <w:trHeight w:val="465"/>
          <w:tblCellSpacing w:w="0" w:type="dxa"/>
        </w:trPr>
        <w:tc>
          <w:tcPr>
            <w:tcW w:w="1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052317" w:rsidRDefault="008C767C" w:rsidP="00F943D8">
            <w:pPr>
              <w:jc w:val="center"/>
              <w:rPr>
                <w:b/>
                <w:sz w:val="22"/>
                <w:szCs w:val="22"/>
              </w:rPr>
            </w:pPr>
            <w:r w:rsidRPr="00052317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8820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052317" w:rsidRDefault="008C767C" w:rsidP="00F943D8">
            <w:pPr>
              <w:ind w:firstLine="539"/>
              <w:jc w:val="center"/>
              <w:rPr>
                <w:b/>
                <w:sz w:val="22"/>
                <w:szCs w:val="22"/>
              </w:rPr>
            </w:pPr>
            <w:r w:rsidRPr="00052317">
              <w:rPr>
                <w:b/>
                <w:sz w:val="22"/>
                <w:szCs w:val="22"/>
              </w:rPr>
              <w:t>Учреждения</w:t>
            </w:r>
          </w:p>
        </w:tc>
      </w:tr>
      <w:tr w:rsidR="008C767C" w:rsidRPr="006D22FC" w:rsidTr="00F943D8">
        <w:trPr>
          <w:trHeight w:val="465"/>
          <w:tblCellSpacing w:w="0" w:type="dxa"/>
        </w:trPr>
        <w:tc>
          <w:tcPr>
            <w:tcW w:w="1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AF1881" w:rsidRDefault="008C767C" w:rsidP="00F943D8">
            <w:pPr>
              <w:jc w:val="center"/>
              <w:rPr>
                <w:b/>
                <w:sz w:val="22"/>
                <w:szCs w:val="22"/>
              </w:rPr>
            </w:pPr>
            <w:r w:rsidRPr="00AF1881">
              <w:rPr>
                <w:b/>
                <w:sz w:val="22"/>
                <w:szCs w:val="22"/>
              </w:rPr>
              <w:t>Поселок Красное</w:t>
            </w:r>
          </w:p>
        </w:tc>
        <w:tc>
          <w:tcPr>
            <w:tcW w:w="157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 xml:space="preserve">Средняя </w:t>
            </w:r>
            <w:r>
              <w:rPr>
                <w:sz w:val="22"/>
                <w:szCs w:val="22"/>
              </w:rPr>
              <w:t>ш</w:t>
            </w:r>
            <w:r w:rsidRPr="00240EEE">
              <w:rPr>
                <w:sz w:val="22"/>
                <w:szCs w:val="22"/>
              </w:rPr>
              <w:t>кола</w:t>
            </w:r>
          </w:p>
        </w:tc>
        <w:tc>
          <w:tcPr>
            <w:tcW w:w="130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Детский сад</w:t>
            </w:r>
          </w:p>
        </w:tc>
        <w:tc>
          <w:tcPr>
            <w:tcW w:w="144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Амбулатория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Дом</w:t>
            </w:r>
            <w:r>
              <w:rPr>
                <w:sz w:val="22"/>
                <w:szCs w:val="22"/>
              </w:rPr>
              <w:t xml:space="preserve"> </w:t>
            </w:r>
            <w:r w:rsidRPr="00240EEE">
              <w:rPr>
                <w:sz w:val="22"/>
                <w:szCs w:val="22"/>
              </w:rPr>
              <w:t>культуры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Библиотека</w:t>
            </w:r>
          </w:p>
        </w:tc>
        <w:tc>
          <w:tcPr>
            <w:tcW w:w="15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Спорткомплекс</w:t>
            </w:r>
          </w:p>
        </w:tc>
      </w:tr>
      <w:tr w:rsidR="008C767C" w:rsidRPr="006D22FC" w:rsidTr="00F943D8">
        <w:trPr>
          <w:trHeight w:val="465"/>
          <w:tblCellSpacing w:w="0" w:type="dxa"/>
        </w:trPr>
        <w:tc>
          <w:tcPr>
            <w:tcW w:w="1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AF1881" w:rsidRDefault="008C767C" w:rsidP="00F943D8">
            <w:pPr>
              <w:jc w:val="center"/>
              <w:rPr>
                <w:b/>
                <w:sz w:val="22"/>
                <w:szCs w:val="22"/>
              </w:rPr>
            </w:pPr>
            <w:r w:rsidRPr="00AF1881">
              <w:rPr>
                <w:b/>
                <w:sz w:val="22"/>
                <w:szCs w:val="22"/>
              </w:rPr>
              <w:t>д. Куя</w:t>
            </w:r>
          </w:p>
        </w:tc>
        <w:tc>
          <w:tcPr>
            <w:tcW w:w="157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Школа-сад</w:t>
            </w:r>
          </w:p>
        </w:tc>
        <w:tc>
          <w:tcPr>
            <w:tcW w:w="130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ФАП</w:t>
            </w:r>
          </w:p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40EEE">
              <w:rPr>
                <w:sz w:val="22"/>
                <w:szCs w:val="22"/>
              </w:rPr>
              <w:t>филиал)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240EEE" w:rsidRDefault="008C767C" w:rsidP="00F943D8">
            <w:pPr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ДКВП</w:t>
            </w:r>
            <w:r>
              <w:rPr>
                <w:sz w:val="22"/>
                <w:szCs w:val="22"/>
              </w:rPr>
              <w:t xml:space="preserve"> </w:t>
            </w:r>
            <w:r w:rsidRPr="00240EEE">
              <w:rPr>
                <w:sz w:val="22"/>
                <w:szCs w:val="22"/>
              </w:rPr>
              <w:t>(филиал)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(Филиал)</w:t>
            </w:r>
          </w:p>
        </w:tc>
        <w:tc>
          <w:tcPr>
            <w:tcW w:w="15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</w:tr>
      <w:tr w:rsidR="008C767C" w:rsidRPr="006D22FC" w:rsidTr="00F943D8">
        <w:trPr>
          <w:trHeight w:val="240"/>
          <w:tblCellSpacing w:w="0" w:type="dxa"/>
        </w:trPr>
        <w:tc>
          <w:tcPr>
            <w:tcW w:w="1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AF1881" w:rsidRDefault="008C767C" w:rsidP="00F943D8">
            <w:pPr>
              <w:rPr>
                <w:b/>
                <w:sz w:val="22"/>
                <w:szCs w:val="22"/>
              </w:rPr>
            </w:pPr>
            <w:r w:rsidRPr="00AF1881"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>О</w:t>
            </w:r>
            <w:r w:rsidRPr="00AF1881">
              <w:rPr>
                <w:b/>
                <w:sz w:val="22"/>
                <w:szCs w:val="22"/>
              </w:rPr>
              <w:t>колково</w:t>
            </w:r>
          </w:p>
        </w:tc>
        <w:tc>
          <w:tcPr>
            <w:tcW w:w="157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</w:tr>
      <w:tr w:rsidR="008C767C" w:rsidRPr="006D22FC" w:rsidTr="00F943D8">
        <w:trPr>
          <w:trHeight w:val="240"/>
          <w:tblCellSpacing w:w="0" w:type="dxa"/>
        </w:trPr>
        <w:tc>
          <w:tcPr>
            <w:tcW w:w="1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AF1881" w:rsidRDefault="008C767C" w:rsidP="00F943D8">
            <w:pPr>
              <w:rPr>
                <w:b/>
                <w:sz w:val="22"/>
                <w:szCs w:val="22"/>
              </w:rPr>
            </w:pPr>
            <w:r w:rsidRPr="00AF1881">
              <w:rPr>
                <w:b/>
                <w:sz w:val="22"/>
                <w:szCs w:val="22"/>
              </w:rPr>
              <w:t>д. Черная</w:t>
            </w:r>
          </w:p>
        </w:tc>
        <w:tc>
          <w:tcPr>
            <w:tcW w:w="157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240EEE" w:rsidRDefault="008C767C" w:rsidP="00F943D8">
            <w:pPr>
              <w:ind w:firstLine="539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</w:tr>
    </w:tbl>
    <w:p w:rsidR="008C767C" w:rsidRDefault="008C767C" w:rsidP="008C767C">
      <w:pPr>
        <w:spacing w:line="360" w:lineRule="auto"/>
        <w:ind w:firstLine="539"/>
        <w:jc w:val="both"/>
      </w:pP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В качестве приоритета молодежной политики в 201</w:t>
      </w:r>
      <w:r>
        <w:rPr>
          <w:sz w:val="26"/>
          <w:szCs w:val="26"/>
        </w:rPr>
        <w:t>7</w:t>
      </w:r>
      <w:r w:rsidRPr="00EE2EBF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EE2EBF">
        <w:rPr>
          <w:sz w:val="26"/>
          <w:szCs w:val="26"/>
        </w:rPr>
        <w:t xml:space="preserve"> годов рассматривается вовлечение молодежи, как главного участника многообразной жизни общества.</w:t>
      </w:r>
    </w:p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3.6.Транспорт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Наличие развитой транспортной инфраструктуры является необходимым условием экономического роста и повышения инвестиционной активности. В летний период это перевозки водным транспортом, в частности с д. Куя, зимой регулярного транспортного сообщения с этим населенным пунктом нет. Поселок Красное с административным центром округа - городом Нарьян-Маром связывает автодорога, но ввиду того, что дорога относится к дорогам </w:t>
      </w:r>
      <w:r>
        <w:rPr>
          <w:sz w:val="26"/>
          <w:szCs w:val="26"/>
        </w:rPr>
        <w:t>4</w:t>
      </w:r>
      <w:r w:rsidRPr="00EE2EBF">
        <w:rPr>
          <w:sz w:val="26"/>
          <w:szCs w:val="26"/>
        </w:rPr>
        <w:t xml:space="preserve"> категории, регулярное транспортное сообщение пока </w:t>
      </w:r>
      <w:r w:rsidRPr="00EE2EBF">
        <w:rPr>
          <w:sz w:val="26"/>
          <w:szCs w:val="26"/>
        </w:rPr>
        <w:lastRenderedPageBreak/>
        <w:t>невозможно. Перевозки пассажиров осуществляются частными перевозчиками, работающими в режиме такси.</w:t>
      </w:r>
    </w:p>
    <w:p w:rsidR="008C767C" w:rsidRPr="0023073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на территории сельского поселения  в 2016 году реализуется муниципальная программа </w:t>
      </w:r>
      <w:r w:rsidRPr="0023073F">
        <w:rPr>
          <w:sz w:val="26"/>
          <w:szCs w:val="26"/>
        </w:rPr>
        <w:t>«Развитие транспортной инфраструктуры мун</w:t>
      </w:r>
      <w:r w:rsidRPr="0023073F">
        <w:rPr>
          <w:sz w:val="26"/>
          <w:szCs w:val="26"/>
        </w:rPr>
        <w:t>и</w:t>
      </w:r>
      <w:r w:rsidRPr="0023073F">
        <w:rPr>
          <w:sz w:val="26"/>
          <w:szCs w:val="26"/>
        </w:rPr>
        <w:t>ципального образования «Муниципальный район» «Заполярный район» на 2012-2017</w:t>
      </w:r>
      <w:r>
        <w:rPr>
          <w:sz w:val="26"/>
          <w:szCs w:val="26"/>
        </w:rPr>
        <w:t xml:space="preserve"> годы» на содержание </w:t>
      </w:r>
      <w:r>
        <w:t>и ремонт внутрипоселковых дорог с твердым покрытием</w:t>
      </w:r>
      <w:r>
        <w:rPr>
          <w:sz w:val="26"/>
          <w:szCs w:val="26"/>
        </w:rPr>
        <w:t xml:space="preserve">, сумма выделенных средств составляет </w:t>
      </w:r>
      <w:r w:rsidRPr="0023073F">
        <w:rPr>
          <w:b/>
          <w:sz w:val="26"/>
          <w:szCs w:val="26"/>
        </w:rPr>
        <w:t>1,03</w:t>
      </w:r>
      <w:r>
        <w:rPr>
          <w:sz w:val="26"/>
          <w:szCs w:val="26"/>
        </w:rPr>
        <w:t xml:space="preserve"> млн. рублей. В 2017 году спрогнозировано по данной программе </w:t>
      </w:r>
      <w:r w:rsidRPr="0023073F">
        <w:rPr>
          <w:b/>
          <w:sz w:val="26"/>
          <w:szCs w:val="26"/>
        </w:rPr>
        <w:t>1,14</w:t>
      </w:r>
      <w:r>
        <w:rPr>
          <w:sz w:val="26"/>
          <w:szCs w:val="26"/>
        </w:rPr>
        <w:t xml:space="preserve"> млн. рублей.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  <w:r w:rsidRPr="00EE2EBF">
        <w:rPr>
          <w:b/>
          <w:sz w:val="26"/>
          <w:szCs w:val="26"/>
        </w:rPr>
        <w:t>3.7. Пожарная безопасность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 мероприятий в области пожарной безопасности на территории муниципального образования. Планируется выделение средств местного бюджета на приобретение пожарно-технического оборудования, проведение агитационных мероприятий, финансирование Добровольной пожарной дружины, обслуживание пожарных водоемов, находящихся в собственности муниципального образования.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EE2EBF">
        <w:rPr>
          <w:sz w:val="26"/>
          <w:szCs w:val="26"/>
        </w:rPr>
        <w:t xml:space="preserve">В 2016 году </w:t>
      </w:r>
      <w:r>
        <w:rPr>
          <w:sz w:val="26"/>
          <w:szCs w:val="26"/>
        </w:rPr>
        <w:t>будет введен в эксплуатацию построенный пожарный резервуар с разворотными  площадками в районе дома № 2, ул. Пролетарской в поселке Красное</w:t>
      </w:r>
      <w:r w:rsidRPr="00EE2EBF">
        <w:rPr>
          <w:sz w:val="26"/>
          <w:szCs w:val="26"/>
        </w:rPr>
        <w:t>.</w:t>
      </w:r>
    </w:p>
    <w:p w:rsidR="008C767C" w:rsidRDefault="008C767C" w:rsidP="008C767C">
      <w:pPr>
        <w:spacing w:before="100" w:beforeAutospacing="1" w:after="100" w:afterAutospacing="1"/>
        <w:ind w:firstLine="539"/>
        <w:jc w:val="center"/>
        <w:rPr>
          <w:b/>
          <w:sz w:val="26"/>
          <w:szCs w:val="26"/>
        </w:rPr>
      </w:pPr>
    </w:p>
    <w:p w:rsidR="008C767C" w:rsidRPr="00EE2EBF" w:rsidRDefault="008C767C" w:rsidP="008C767C">
      <w:pPr>
        <w:spacing w:before="100" w:beforeAutospacing="1" w:after="100" w:afterAutospacing="1"/>
        <w:ind w:firstLine="539"/>
        <w:jc w:val="center"/>
        <w:rPr>
          <w:sz w:val="26"/>
          <w:szCs w:val="26"/>
        </w:rPr>
      </w:pPr>
      <w:r w:rsidRPr="00EE2EBF">
        <w:rPr>
          <w:b/>
          <w:sz w:val="26"/>
          <w:szCs w:val="26"/>
        </w:rPr>
        <w:t>3.8. Трудовые ресурсы, доходы, занятость</w:t>
      </w:r>
      <w:r w:rsidRPr="00EE2EBF">
        <w:rPr>
          <w:sz w:val="26"/>
          <w:szCs w:val="26"/>
        </w:rPr>
        <w:t>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CD6A0A">
        <w:rPr>
          <w:sz w:val="26"/>
          <w:szCs w:val="26"/>
        </w:rPr>
        <w:t xml:space="preserve">Численность занятого населения к 2016 году прогнозируется около </w:t>
      </w:r>
      <w:r w:rsidRPr="00CD6A0A">
        <w:rPr>
          <w:b/>
          <w:sz w:val="26"/>
          <w:szCs w:val="26"/>
        </w:rPr>
        <w:t>480</w:t>
      </w:r>
      <w:r w:rsidRPr="00CD6A0A">
        <w:rPr>
          <w:sz w:val="26"/>
          <w:szCs w:val="26"/>
        </w:rPr>
        <w:t xml:space="preserve"> человек. Уровень безработицы на конец 2016 года составит </w:t>
      </w:r>
      <w:r w:rsidRPr="00CD6A0A">
        <w:rPr>
          <w:b/>
          <w:sz w:val="26"/>
          <w:szCs w:val="26"/>
        </w:rPr>
        <w:t>4,2</w:t>
      </w:r>
      <w:r w:rsidRPr="00CD6A0A">
        <w:rPr>
          <w:sz w:val="26"/>
          <w:szCs w:val="26"/>
        </w:rPr>
        <w:t xml:space="preserve"> % (20 человек) от экономически</w:t>
      </w:r>
      <w:r w:rsidRPr="00EE2EBF">
        <w:rPr>
          <w:sz w:val="26"/>
          <w:szCs w:val="26"/>
        </w:rPr>
        <w:t xml:space="preserve"> активного населения. На дальнейшую перспективу планируется снижение безработицы на </w:t>
      </w:r>
      <w:r w:rsidRPr="003301DA">
        <w:rPr>
          <w:b/>
          <w:sz w:val="26"/>
          <w:szCs w:val="26"/>
        </w:rPr>
        <w:t>2%</w:t>
      </w:r>
      <w:r w:rsidRPr="00EE2EBF">
        <w:rPr>
          <w:sz w:val="26"/>
          <w:szCs w:val="26"/>
        </w:rPr>
        <w:t>.</w:t>
      </w:r>
    </w:p>
    <w:p w:rsidR="008C767C" w:rsidRPr="00EE2EBF" w:rsidRDefault="008C767C" w:rsidP="008C767C">
      <w:pPr>
        <w:spacing w:before="100" w:beforeAutospacing="1" w:after="100" w:afterAutospacing="1"/>
        <w:ind w:firstLine="539"/>
        <w:jc w:val="both"/>
        <w:rPr>
          <w:b/>
          <w:bCs/>
          <w:sz w:val="26"/>
          <w:szCs w:val="26"/>
        </w:rPr>
      </w:pPr>
      <w:r w:rsidRPr="00EE2EBF">
        <w:rPr>
          <w:b/>
          <w:bCs/>
          <w:sz w:val="26"/>
          <w:szCs w:val="26"/>
        </w:rPr>
        <w:t>Уровень доходов по сельскому поселению (средняя зарплата) за 201</w:t>
      </w:r>
      <w:r>
        <w:rPr>
          <w:b/>
          <w:bCs/>
          <w:sz w:val="26"/>
          <w:szCs w:val="26"/>
        </w:rPr>
        <w:t>6</w:t>
      </w:r>
      <w:r w:rsidRPr="00EE2EBF">
        <w:rPr>
          <w:b/>
          <w:bCs/>
          <w:sz w:val="26"/>
          <w:szCs w:val="26"/>
        </w:rPr>
        <w:t xml:space="preserve"> год</w:t>
      </w:r>
    </w:p>
    <w:p w:rsidR="008C767C" w:rsidRPr="00082A41" w:rsidRDefault="008C767C" w:rsidP="008C767C">
      <w:pPr>
        <w:spacing w:line="360" w:lineRule="auto"/>
        <w:ind w:firstLine="539"/>
        <w:jc w:val="center"/>
      </w:pPr>
      <w:r w:rsidRPr="00082A41">
        <w:t xml:space="preserve">                                                                         (тыс. руб.)</w:t>
      </w:r>
    </w:p>
    <w:tbl>
      <w:tblPr>
        <w:tblW w:w="7444" w:type="dxa"/>
        <w:tblCellSpacing w:w="0" w:type="dxa"/>
        <w:tblInd w:w="674" w:type="dxa"/>
        <w:tblCellMar>
          <w:left w:w="0" w:type="dxa"/>
          <w:right w:w="0" w:type="dxa"/>
        </w:tblCellMar>
        <w:tblLook w:val="0000"/>
      </w:tblPr>
      <w:tblGrid>
        <w:gridCol w:w="3841"/>
        <w:gridCol w:w="3603"/>
      </w:tblGrid>
      <w:tr w:rsidR="008C767C" w:rsidRPr="00082A41" w:rsidTr="00F943D8">
        <w:trPr>
          <w:trHeight w:val="680"/>
          <w:tblCellSpacing w:w="0" w:type="dxa"/>
        </w:trPr>
        <w:tc>
          <w:tcPr>
            <w:tcW w:w="384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082A41" w:rsidRDefault="008C767C" w:rsidP="00F943D8">
            <w:pPr>
              <w:spacing w:line="360" w:lineRule="auto"/>
              <w:ind w:firstLine="539"/>
              <w:jc w:val="center"/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8C767C" w:rsidRPr="00082A41" w:rsidRDefault="008C767C" w:rsidP="00F943D8">
            <w:pPr>
              <w:spacing w:line="360" w:lineRule="auto"/>
              <w:ind w:firstLine="539"/>
              <w:jc w:val="center"/>
            </w:pPr>
            <w:r>
              <w:rPr>
                <w:b/>
                <w:bCs/>
              </w:rPr>
              <w:t>Средняя заработная плата</w:t>
            </w:r>
          </w:p>
        </w:tc>
      </w:tr>
      <w:tr w:rsidR="008C767C" w:rsidRPr="00082A41" w:rsidTr="00F943D8">
        <w:trPr>
          <w:trHeight w:val="764"/>
          <w:tblCellSpacing w:w="0" w:type="dxa"/>
        </w:trPr>
        <w:tc>
          <w:tcPr>
            <w:tcW w:w="384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082A41" w:rsidRDefault="008C767C" w:rsidP="00F943D8">
            <w:pPr>
              <w:spacing w:line="360" w:lineRule="auto"/>
              <w:ind w:firstLine="539"/>
              <w:jc w:val="both"/>
            </w:pPr>
            <w:r w:rsidRPr="00082A41">
              <w:rPr>
                <w:b/>
                <w:bCs/>
              </w:rPr>
              <w:t>СПК «Харп»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082A41" w:rsidRDefault="008C767C" w:rsidP="00F943D8">
            <w:pPr>
              <w:spacing w:line="360" w:lineRule="auto"/>
              <w:ind w:firstLine="539"/>
              <w:jc w:val="both"/>
            </w:pPr>
            <w:r w:rsidRPr="00082A41">
              <w:rPr>
                <w:b/>
                <w:bCs/>
              </w:rPr>
              <w:t xml:space="preserve">21,1 </w:t>
            </w:r>
          </w:p>
        </w:tc>
      </w:tr>
      <w:tr w:rsidR="008C767C" w:rsidRPr="00082A41" w:rsidTr="00F943D8">
        <w:trPr>
          <w:trHeight w:val="686"/>
          <w:tblCellSpacing w:w="0" w:type="dxa"/>
        </w:trPr>
        <w:tc>
          <w:tcPr>
            <w:tcW w:w="384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082A41" w:rsidRDefault="008C767C" w:rsidP="00F943D8">
            <w:pPr>
              <w:spacing w:line="360" w:lineRule="auto"/>
              <w:ind w:firstLine="539"/>
              <w:jc w:val="both"/>
            </w:pPr>
            <w:r w:rsidRPr="00082A41">
              <w:rPr>
                <w:b/>
                <w:bCs/>
              </w:rPr>
              <w:t>СПК «Ерв»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082A41" w:rsidRDefault="008C767C" w:rsidP="00F943D8">
            <w:pPr>
              <w:spacing w:line="360" w:lineRule="auto"/>
              <w:ind w:firstLine="539"/>
              <w:jc w:val="both"/>
            </w:pPr>
            <w:r w:rsidRPr="00082A41">
              <w:rPr>
                <w:b/>
                <w:bCs/>
              </w:rPr>
              <w:t xml:space="preserve">22,4 </w:t>
            </w:r>
          </w:p>
        </w:tc>
      </w:tr>
      <w:tr w:rsidR="008C767C" w:rsidRPr="00082A41" w:rsidTr="00F943D8">
        <w:trPr>
          <w:trHeight w:val="1140"/>
          <w:tblCellSpacing w:w="0" w:type="dxa"/>
        </w:trPr>
        <w:tc>
          <w:tcPr>
            <w:tcW w:w="384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082A41" w:rsidRDefault="008C767C" w:rsidP="00F943D8">
            <w:pPr>
              <w:spacing w:line="360" w:lineRule="auto"/>
              <w:ind w:firstLine="539"/>
              <w:jc w:val="both"/>
            </w:pPr>
            <w:r w:rsidRPr="00082A41">
              <w:rPr>
                <w:b/>
                <w:bCs/>
              </w:rPr>
              <w:t>Школа (специалисты/техперсонал)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8C767C" w:rsidRPr="00082A41" w:rsidRDefault="008C767C" w:rsidP="00F943D8">
            <w:pPr>
              <w:spacing w:line="360" w:lineRule="auto"/>
              <w:ind w:firstLine="539"/>
              <w:jc w:val="both"/>
            </w:pPr>
            <w:r w:rsidRPr="00082A41">
              <w:rPr>
                <w:b/>
                <w:bCs/>
              </w:rPr>
              <w:t>75,4/26,0</w:t>
            </w:r>
          </w:p>
        </w:tc>
      </w:tr>
    </w:tbl>
    <w:p w:rsidR="008C767C" w:rsidRDefault="008C767C" w:rsidP="008C767C">
      <w:pPr>
        <w:spacing w:line="360" w:lineRule="auto"/>
        <w:ind w:firstLine="539"/>
        <w:jc w:val="center"/>
        <w:rPr>
          <w:b/>
        </w:rPr>
      </w:pPr>
    </w:p>
    <w:p w:rsidR="008C767C" w:rsidRPr="005A688C" w:rsidRDefault="008C767C" w:rsidP="008C767C">
      <w:pPr>
        <w:spacing w:line="360" w:lineRule="auto"/>
        <w:ind w:firstLine="539"/>
        <w:jc w:val="center"/>
        <w:rPr>
          <w:b/>
          <w:sz w:val="26"/>
          <w:szCs w:val="26"/>
        </w:rPr>
      </w:pPr>
      <w:r w:rsidRPr="005A688C">
        <w:rPr>
          <w:b/>
          <w:sz w:val="26"/>
          <w:szCs w:val="26"/>
        </w:rPr>
        <w:lastRenderedPageBreak/>
        <w:t>Структура занятости населения муниципального образования</w:t>
      </w:r>
    </w:p>
    <w:p w:rsidR="008C767C" w:rsidRDefault="008C767C" w:rsidP="008C767C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29045" cy="385635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767C" w:rsidRDefault="008C767C" w:rsidP="008C767C">
      <w:pPr>
        <w:spacing w:line="360" w:lineRule="auto"/>
        <w:jc w:val="center"/>
        <w:rPr>
          <w:b/>
        </w:rPr>
      </w:pPr>
    </w:p>
    <w:p w:rsidR="008C767C" w:rsidRPr="003301DA" w:rsidRDefault="008C767C" w:rsidP="008C767C">
      <w:pPr>
        <w:spacing w:line="360" w:lineRule="auto"/>
        <w:jc w:val="center"/>
        <w:rPr>
          <w:sz w:val="26"/>
          <w:szCs w:val="26"/>
        </w:rPr>
      </w:pPr>
      <w:r w:rsidRPr="003301DA">
        <w:rPr>
          <w:b/>
          <w:sz w:val="26"/>
          <w:szCs w:val="26"/>
        </w:rPr>
        <w:t>4. Предварительные итоги социально – экономического развития территории  муниципального образования «Приморско-Куйский сельсовет» Ненецкого автономного округа за 9 месяцев 2016 года.</w:t>
      </w:r>
    </w:p>
    <w:p w:rsidR="008C767C" w:rsidRDefault="008C767C" w:rsidP="008C767C">
      <w:pPr>
        <w:spacing w:line="360" w:lineRule="auto"/>
        <w:ind w:firstLine="539"/>
        <w:jc w:val="center"/>
        <w:rPr>
          <w:b/>
        </w:rPr>
      </w:pPr>
    </w:p>
    <w:p w:rsidR="008C767C" w:rsidRPr="003301DA" w:rsidRDefault="008C767C" w:rsidP="008C767C">
      <w:pPr>
        <w:spacing w:line="360" w:lineRule="auto"/>
        <w:ind w:firstLine="539"/>
        <w:jc w:val="center"/>
        <w:rPr>
          <w:b/>
          <w:sz w:val="26"/>
          <w:szCs w:val="26"/>
        </w:rPr>
      </w:pPr>
      <w:r w:rsidRPr="003301DA">
        <w:rPr>
          <w:b/>
          <w:sz w:val="26"/>
          <w:szCs w:val="26"/>
        </w:rPr>
        <w:t>4.1. Формирование, утверждение, исполнение бюджета поселения.</w:t>
      </w:r>
    </w:p>
    <w:p w:rsidR="008C767C" w:rsidRPr="003301DA" w:rsidRDefault="008C767C" w:rsidP="008C767C">
      <w:pPr>
        <w:tabs>
          <w:tab w:val="left" w:pos="108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>Местный бюджет на 201</w:t>
      </w:r>
      <w:r>
        <w:rPr>
          <w:sz w:val="26"/>
          <w:szCs w:val="26"/>
        </w:rPr>
        <w:t>6</w:t>
      </w:r>
      <w:r w:rsidRPr="003301DA">
        <w:rPr>
          <w:sz w:val="26"/>
          <w:szCs w:val="26"/>
        </w:rPr>
        <w:t xml:space="preserve"> год утвержден решением Совета депутатов </w:t>
      </w:r>
      <w:r>
        <w:rPr>
          <w:sz w:val="26"/>
          <w:szCs w:val="26"/>
        </w:rPr>
        <w:t xml:space="preserve">муниципального образования « Приморско-Куйский сельсовет» Ненецкого автономного округа </w:t>
      </w:r>
      <w:r w:rsidRPr="003301DA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3301DA">
        <w:rPr>
          <w:sz w:val="26"/>
          <w:szCs w:val="26"/>
        </w:rPr>
        <w:t>.12.201</w:t>
      </w:r>
      <w:r>
        <w:rPr>
          <w:sz w:val="26"/>
          <w:szCs w:val="26"/>
        </w:rPr>
        <w:t>5</w:t>
      </w:r>
      <w:r w:rsidRPr="003301DA">
        <w:rPr>
          <w:sz w:val="26"/>
          <w:szCs w:val="26"/>
        </w:rPr>
        <w:t xml:space="preserve"> № </w:t>
      </w:r>
      <w:r>
        <w:rPr>
          <w:sz w:val="26"/>
          <w:szCs w:val="26"/>
        </w:rPr>
        <w:t>134</w:t>
      </w:r>
      <w:r w:rsidRPr="003301DA">
        <w:rPr>
          <w:sz w:val="26"/>
          <w:szCs w:val="26"/>
        </w:rPr>
        <w:t xml:space="preserve"> (</w:t>
      </w:r>
      <w:r w:rsidRPr="003301DA">
        <w:rPr>
          <w:sz w:val="26"/>
          <w:szCs w:val="26"/>
          <w:lang w:eastAsia="en-US"/>
        </w:rPr>
        <w:t xml:space="preserve">в последней редакции решения от </w:t>
      </w:r>
      <w:r>
        <w:rPr>
          <w:sz w:val="26"/>
          <w:szCs w:val="26"/>
          <w:lang w:eastAsia="en-US"/>
        </w:rPr>
        <w:t>2</w:t>
      </w:r>
      <w:r w:rsidRPr="003301DA">
        <w:rPr>
          <w:sz w:val="26"/>
          <w:szCs w:val="26"/>
          <w:lang w:eastAsia="en-US"/>
        </w:rPr>
        <w:t>6.</w:t>
      </w:r>
      <w:r>
        <w:rPr>
          <w:sz w:val="26"/>
          <w:szCs w:val="26"/>
          <w:lang w:eastAsia="en-US"/>
        </w:rPr>
        <w:t>10</w:t>
      </w:r>
      <w:r w:rsidRPr="003301DA">
        <w:rPr>
          <w:sz w:val="26"/>
          <w:szCs w:val="26"/>
          <w:lang w:eastAsia="en-US"/>
        </w:rPr>
        <w:t>.201</w:t>
      </w:r>
      <w:r>
        <w:rPr>
          <w:sz w:val="26"/>
          <w:szCs w:val="26"/>
          <w:lang w:eastAsia="en-US"/>
        </w:rPr>
        <w:t>6</w:t>
      </w:r>
      <w:r w:rsidRPr="003301DA">
        <w:rPr>
          <w:sz w:val="26"/>
          <w:szCs w:val="26"/>
          <w:lang w:eastAsia="en-US"/>
        </w:rPr>
        <w:t xml:space="preserve"> № 1</w:t>
      </w:r>
      <w:r>
        <w:rPr>
          <w:sz w:val="26"/>
          <w:szCs w:val="26"/>
          <w:lang w:eastAsia="en-US"/>
        </w:rPr>
        <w:t>69</w:t>
      </w:r>
      <w:r w:rsidRPr="003301DA">
        <w:rPr>
          <w:sz w:val="26"/>
          <w:szCs w:val="26"/>
          <w:lang w:eastAsia="en-US"/>
        </w:rPr>
        <w:t>).</w:t>
      </w:r>
    </w:p>
    <w:p w:rsidR="008C767C" w:rsidRPr="003301DA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>Прогноз социально-экономического развития территории составлен в условиях действующего на день внесения проекта закона (решения) о бюджете в законодательный (представительный) орган законодательства о налогах и сборах, бюджетного законодательства, а также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образований.</w:t>
      </w:r>
    </w:p>
    <w:p w:rsidR="008C767C" w:rsidRPr="003301DA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ab/>
        <w:t>Бюджет МО «Приморско-Куйский сельсовет» Н</w:t>
      </w:r>
      <w:r>
        <w:rPr>
          <w:sz w:val="26"/>
          <w:szCs w:val="26"/>
        </w:rPr>
        <w:t>енецкого автономного округа</w:t>
      </w:r>
      <w:r w:rsidRPr="003301DA">
        <w:rPr>
          <w:sz w:val="26"/>
          <w:szCs w:val="26"/>
        </w:rPr>
        <w:t xml:space="preserve"> сформирован за счет налоговых и неналоговых доходов, а также за счет безвозмездных поступлений от других бюджетов бюджетной системы РФ. С учетом изменений, бюджет на 201</w:t>
      </w:r>
      <w:r>
        <w:rPr>
          <w:sz w:val="26"/>
          <w:szCs w:val="26"/>
        </w:rPr>
        <w:t>6</w:t>
      </w:r>
      <w:r w:rsidRPr="003301DA">
        <w:rPr>
          <w:sz w:val="26"/>
          <w:szCs w:val="26"/>
        </w:rPr>
        <w:t xml:space="preserve"> год утвержден по доходам в сумме </w:t>
      </w:r>
      <w:r>
        <w:rPr>
          <w:b/>
          <w:sz w:val="26"/>
          <w:szCs w:val="26"/>
        </w:rPr>
        <w:t>71 583,1</w:t>
      </w:r>
      <w:r w:rsidRPr="003301DA">
        <w:rPr>
          <w:sz w:val="26"/>
          <w:szCs w:val="26"/>
        </w:rPr>
        <w:t xml:space="preserve"> тыс. руб., по расходам </w:t>
      </w:r>
      <w:r>
        <w:rPr>
          <w:b/>
          <w:sz w:val="26"/>
          <w:szCs w:val="26"/>
        </w:rPr>
        <w:lastRenderedPageBreak/>
        <w:t>72 111,6</w:t>
      </w:r>
      <w:r w:rsidRPr="003301DA">
        <w:rPr>
          <w:sz w:val="26"/>
          <w:szCs w:val="26"/>
        </w:rPr>
        <w:t xml:space="preserve"> тыс. руб. с дефицитом в размере </w:t>
      </w:r>
      <w:r>
        <w:rPr>
          <w:b/>
          <w:sz w:val="26"/>
          <w:szCs w:val="26"/>
        </w:rPr>
        <w:t>528,5</w:t>
      </w:r>
      <w:r w:rsidRPr="003301DA">
        <w:rPr>
          <w:sz w:val="26"/>
          <w:szCs w:val="26"/>
        </w:rPr>
        <w:t xml:space="preserve"> тыс. руб. На покрытие дефицита направлены остатки на счетах по состоянию на 01.01.201</w:t>
      </w:r>
      <w:r>
        <w:rPr>
          <w:sz w:val="26"/>
          <w:szCs w:val="26"/>
        </w:rPr>
        <w:t>6</w:t>
      </w:r>
      <w:r w:rsidRPr="003301DA">
        <w:rPr>
          <w:sz w:val="26"/>
          <w:szCs w:val="26"/>
        </w:rPr>
        <w:t xml:space="preserve"> года.</w:t>
      </w:r>
    </w:p>
    <w:p w:rsidR="008C767C" w:rsidRPr="003301DA" w:rsidRDefault="008C767C" w:rsidP="008C767C">
      <w:pPr>
        <w:tabs>
          <w:tab w:val="left" w:pos="900"/>
          <w:tab w:val="left" w:pos="108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>Формирование расходных статей местного бюджета осуществляется в соответствии с расходными обязательствами, обусловленными законодательством РФ, разграничением полномочий органов местного самоуправления за счет средств бюджета муниципального образования.</w:t>
      </w:r>
    </w:p>
    <w:p w:rsidR="008C767C" w:rsidRDefault="008C767C" w:rsidP="008C767C">
      <w:pPr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color w:val="0000FF"/>
          <w:sz w:val="26"/>
          <w:szCs w:val="26"/>
        </w:rPr>
        <w:tab/>
      </w:r>
      <w:r w:rsidRPr="003301DA">
        <w:rPr>
          <w:sz w:val="26"/>
          <w:szCs w:val="26"/>
        </w:rPr>
        <w:t>Основными приоритетными направлениями формирования бюджета на 201</w:t>
      </w:r>
      <w:r>
        <w:rPr>
          <w:sz w:val="26"/>
          <w:szCs w:val="26"/>
        </w:rPr>
        <w:t>6</w:t>
      </w:r>
      <w:r w:rsidRPr="003301DA">
        <w:rPr>
          <w:sz w:val="26"/>
          <w:szCs w:val="26"/>
        </w:rPr>
        <w:t xml:space="preserve"> год являются расходы в сфере:</w:t>
      </w:r>
    </w:p>
    <w:p w:rsidR="008C767C" w:rsidRPr="003301DA" w:rsidRDefault="008C767C" w:rsidP="008C767C">
      <w:pPr>
        <w:tabs>
          <w:tab w:val="left" w:pos="90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01DA">
        <w:rPr>
          <w:sz w:val="26"/>
          <w:szCs w:val="26"/>
        </w:rPr>
        <w:t xml:space="preserve">общегосударственных вопросов – </w:t>
      </w:r>
      <w:r>
        <w:rPr>
          <w:b/>
          <w:sz w:val="26"/>
          <w:szCs w:val="26"/>
        </w:rPr>
        <w:t>64,1</w:t>
      </w:r>
      <w:r w:rsidRPr="003301DA">
        <w:rPr>
          <w:sz w:val="26"/>
          <w:szCs w:val="26"/>
        </w:rPr>
        <w:t>,%.</w:t>
      </w:r>
    </w:p>
    <w:p w:rsidR="008C767C" w:rsidRPr="003301DA" w:rsidRDefault="008C767C" w:rsidP="008C767C">
      <w:pPr>
        <w:tabs>
          <w:tab w:val="left" w:pos="90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 xml:space="preserve">- жилищно-коммунального хозяйства – </w:t>
      </w:r>
      <w:r>
        <w:rPr>
          <w:b/>
          <w:sz w:val="26"/>
          <w:szCs w:val="26"/>
        </w:rPr>
        <w:t xml:space="preserve">21,4 </w:t>
      </w:r>
      <w:r w:rsidRPr="003301DA">
        <w:rPr>
          <w:sz w:val="26"/>
          <w:szCs w:val="26"/>
        </w:rPr>
        <w:t>%;</w:t>
      </w:r>
    </w:p>
    <w:p w:rsidR="008C767C" w:rsidRPr="003301DA" w:rsidRDefault="008C767C" w:rsidP="008C767C">
      <w:pPr>
        <w:tabs>
          <w:tab w:val="left" w:pos="90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 xml:space="preserve">- социальная политика – </w:t>
      </w:r>
      <w:r>
        <w:rPr>
          <w:b/>
          <w:sz w:val="26"/>
          <w:szCs w:val="26"/>
        </w:rPr>
        <w:t>8,88</w:t>
      </w:r>
      <w:r w:rsidRPr="003301DA">
        <w:rPr>
          <w:sz w:val="26"/>
          <w:szCs w:val="26"/>
        </w:rPr>
        <w:t xml:space="preserve"> %</w:t>
      </w:r>
    </w:p>
    <w:p w:rsidR="008C767C" w:rsidRPr="003301DA" w:rsidRDefault="008C767C" w:rsidP="008C767C">
      <w:pPr>
        <w:tabs>
          <w:tab w:val="num" w:pos="108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>Налоговые и неналоговые доходы МО «Приморско-Куйский сельсовет»</w:t>
      </w:r>
      <w:r>
        <w:rPr>
          <w:sz w:val="26"/>
          <w:szCs w:val="26"/>
        </w:rPr>
        <w:t xml:space="preserve"> Ненецкого автономного округа</w:t>
      </w:r>
      <w:r w:rsidRPr="003301DA">
        <w:rPr>
          <w:sz w:val="26"/>
          <w:szCs w:val="26"/>
        </w:rPr>
        <w:t xml:space="preserve"> на 201</w:t>
      </w:r>
      <w:r>
        <w:rPr>
          <w:sz w:val="26"/>
          <w:szCs w:val="26"/>
        </w:rPr>
        <w:t>6</w:t>
      </w:r>
      <w:r w:rsidRPr="003301DA">
        <w:rPr>
          <w:sz w:val="26"/>
          <w:szCs w:val="26"/>
        </w:rPr>
        <w:t xml:space="preserve"> год запланир</w:t>
      </w:r>
      <w:r>
        <w:rPr>
          <w:sz w:val="26"/>
          <w:szCs w:val="26"/>
        </w:rPr>
        <w:t>ова</w:t>
      </w:r>
      <w:r w:rsidRPr="003301DA">
        <w:rPr>
          <w:sz w:val="26"/>
          <w:szCs w:val="26"/>
        </w:rPr>
        <w:t xml:space="preserve">ны в размере </w:t>
      </w:r>
      <w:r>
        <w:rPr>
          <w:b/>
          <w:sz w:val="26"/>
          <w:szCs w:val="26"/>
        </w:rPr>
        <w:t xml:space="preserve">5,8 </w:t>
      </w:r>
      <w:r w:rsidRPr="00214658">
        <w:rPr>
          <w:sz w:val="26"/>
          <w:szCs w:val="26"/>
        </w:rPr>
        <w:t>млн. рублей</w:t>
      </w:r>
      <w:r w:rsidRPr="003301DA">
        <w:rPr>
          <w:sz w:val="26"/>
          <w:szCs w:val="26"/>
        </w:rPr>
        <w:t xml:space="preserve"> или </w:t>
      </w:r>
      <w:r>
        <w:rPr>
          <w:b/>
          <w:sz w:val="26"/>
          <w:szCs w:val="26"/>
        </w:rPr>
        <w:t>8,1</w:t>
      </w:r>
      <w:r w:rsidRPr="003301DA">
        <w:rPr>
          <w:sz w:val="26"/>
          <w:szCs w:val="26"/>
        </w:rPr>
        <w:t xml:space="preserve"> % в структуре доходов МО «Приморско-Куйский сельсовет» Н</w:t>
      </w:r>
      <w:r>
        <w:rPr>
          <w:sz w:val="26"/>
          <w:szCs w:val="26"/>
        </w:rPr>
        <w:t>енецкого автономного округа</w:t>
      </w:r>
      <w:r w:rsidRPr="003301DA">
        <w:rPr>
          <w:sz w:val="26"/>
          <w:szCs w:val="26"/>
        </w:rPr>
        <w:t xml:space="preserve">. </w:t>
      </w:r>
    </w:p>
    <w:p w:rsidR="008C767C" w:rsidRPr="003301DA" w:rsidRDefault="008C767C" w:rsidP="008C767C">
      <w:pPr>
        <w:tabs>
          <w:tab w:val="num" w:pos="1080"/>
        </w:tabs>
        <w:spacing w:before="100" w:beforeAutospacing="1" w:after="100" w:afterAutospacing="1"/>
        <w:ind w:firstLine="539"/>
        <w:jc w:val="both"/>
        <w:rPr>
          <w:sz w:val="26"/>
          <w:szCs w:val="26"/>
        </w:rPr>
      </w:pPr>
      <w:r w:rsidRPr="003301DA">
        <w:rPr>
          <w:sz w:val="26"/>
          <w:szCs w:val="26"/>
        </w:rPr>
        <w:t>По итогам 9 месяцев исполнение бюджета составило:</w:t>
      </w:r>
    </w:p>
    <w:p w:rsidR="008C767C" w:rsidRPr="003301DA" w:rsidRDefault="008C767C" w:rsidP="008C767C">
      <w:pPr>
        <w:numPr>
          <w:ilvl w:val="0"/>
          <w:numId w:val="1"/>
        </w:numPr>
        <w:spacing w:line="360" w:lineRule="auto"/>
        <w:ind w:left="0" w:firstLine="539"/>
        <w:jc w:val="both"/>
        <w:rPr>
          <w:b/>
          <w:sz w:val="26"/>
          <w:szCs w:val="26"/>
        </w:rPr>
      </w:pPr>
      <w:r w:rsidRPr="006B3EFE">
        <w:rPr>
          <w:sz w:val="26"/>
          <w:szCs w:val="26"/>
        </w:rPr>
        <w:t>По доходам в сумме</w:t>
      </w:r>
      <w:r w:rsidRPr="003301D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57 559,9</w:t>
      </w:r>
      <w:r w:rsidRPr="003301DA">
        <w:rPr>
          <w:b/>
          <w:sz w:val="26"/>
          <w:szCs w:val="26"/>
        </w:rPr>
        <w:t xml:space="preserve"> </w:t>
      </w:r>
      <w:r w:rsidRPr="006B3EFE">
        <w:rPr>
          <w:sz w:val="26"/>
          <w:szCs w:val="26"/>
        </w:rPr>
        <w:t>тыс. руб</w:t>
      </w:r>
      <w:r>
        <w:rPr>
          <w:sz w:val="26"/>
          <w:szCs w:val="26"/>
        </w:rPr>
        <w:t>лей:</w:t>
      </w:r>
    </w:p>
    <w:p w:rsidR="008C767C" w:rsidRPr="007E5B43" w:rsidRDefault="008C767C" w:rsidP="008C767C">
      <w:pPr>
        <w:ind w:firstLine="113"/>
        <w:jc w:val="center"/>
        <w:outlineLvl w:val="0"/>
        <w:rPr>
          <w:b/>
        </w:rPr>
      </w:pPr>
      <w:r w:rsidRPr="007E5B43">
        <w:rPr>
          <w:b/>
        </w:rPr>
        <w:t xml:space="preserve">Исполнение бюджета поселения за </w:t>
      </w:r>
      <w:r>
        <w:rPr>
          <w:b/>
        </w:rPr>
        <w:t xml:space="preserve">9 месяцев </w:t>
      </w:r>
      <w:r w:rsidRPr="007E5B43">
        <w:rPr>
          <w:b/>
        </w:rPr>
        <w:t>201</w:t>
      </w:r>
      <w:r>
        <w:rPr>
          <w:b/>
        </w:rPr>
        <w:t>6</w:t>
      </w:r>
      <w:r w:rsidRPr="007E5B43">
        <w:rPr>
          <w:b/>
        </w:rPr>
        <w:t xml:space="preserve"> год </w:t>
      </w:r>
    </w:p>
    <w:p w:rsidR="008C767C" w:rsidRDefault="008C767C" w:rsidP="008C767C">
      <w:pPr>
        <w:ind w:firstLine="510"/>
        <w:jc w:val="center"/>
        <w:outlineLvl w:val="0"/>
      </w:pPr>
      <w:r w:rsidRPr="007E5B43">
        <w:rPr>
          <w:b/>
        </w:rPr>
        <w:t>в разрезе доходных источников</w:t>
      </w:r>
      <w:r w:rsidRPr="007E5B43">
        <w:t>:</w:t>
      </w:r>
    </w:p>
    <w:p w:rsidR="008C767C" w:rsidRDefault="008C767C" w:rsidP="008C767C">
      <w:pPr>
        <w:ind w:firstLine="510"/>
        <w:jc w:val="center"/>
        <w:outlineLvl w:val="0"/>
      </w:pPr>
    </w:p>
    <w:tbl>
      <w:tblPr>
        <w:tblW w:w="9639" w:type="dxa"/>
        <w:tblInd w:w="93" w:type="dxa"/>
        <w:tblLook w:val="0000"/>
      </w:tblPr>
      <w:tblGrid>
        <w:gridCol w:w="4335"/>
        <w:gridCol w:w="1264"/>
        <w:gridCol w:w="1360"/>
        <w:gridCol w:w="1240"/>
        <w:gridCol w:w="1440"/>
      </w:tblGrid>
      <w:tr w:rsidR="008C767C" w:rsidTr="00F943D8">
        <w:trPr>
          <w:trHeight w:val="690"/>
        </w:trPr>
        <w:tc>
          <w:tcPr>
            <w:tcW w:w="4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статьи дохода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9 месяцев 2016 года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 9 месяцев 2016 года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Отклонение кассового исполнения от плана 2016 года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исполнения к плану</w:t>
            </w:r>
          </w:p>
        </w:tc>
      </w:tr>
      <w:tr w:rsidR="008C767C" w:rsidTr="00F943D8">
        <w:trPr>
          <w:trHeight w:val="480"/>
        </w:trPr>
        <w:tc>
          <w:tcPr>
            <w:tcW w:w="4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767C" w:rsidTr="00F943D8">
        <w:trPr>
          <w:trHeight w:val="270"/>
        </w:trPr>
        <w:tc>
          <w:tcPr>
            <w:tcW w:w="4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767C" w:rsidTr="00F943D8">
        <w:trPr>
          <w:trHeight w:val="78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3 394,5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3 929,9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115,8</w:t>
            </w:r>
          </w:p>
        </w:tc>
      </w:tr>
      <w:tr w:rsidR="008C767C" w:rsidTr="00F943D8"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1 996,0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2 476,6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480,6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124,1</w:t>
            </w:r>
          </w:p>
        </w:tc>
      </w:tr>
      <w:tr w:rsidR="008C767C" w:rsidTr="00F943D8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1 336,6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1 790,5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134,0</w:t>
            </w:r>
          </w:p>
        </w:tc>
      </w:tr>
      <w:tr w:rsidR="008C767C" w:rsidTr="00F943D8">
        <w:trPr>
          <w:trHeight w:val="61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Единый сельскохозяйственный н</w:t>
            </w:r>
            <w:r>
              <w:rPr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i/>
                <w:iCs/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125,0</w:t>
            </w:r>
          </w:p>
        </w:tc>
      </w:tr>
      <w:tr w:rsidR="008C767C" w:rsidTr="00F943D8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8C767C" w:rsidTr="00F943D8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8C767C" w:rsidTr="00F943D8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105,6</w:t>
            </w:r>
          </w:p>
        </w:tc>
      </w:tr>
      <w:tr w:rsidR="008C767C" w:rsidTr="00F943D8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105,7</w:t>
            </w:r>
          </w:p>
        </w:tc>
      </w:tr>
      <w:tr w:rsidR="008C767C" w:rsidTr="00F943D8">
        <w:trPr>
          <w:trHeight w:val="64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104,8</w:t>
            </w:r>
          </w:p>
        </w:tc>
      </w:tr>
      <w:tr w:rsidR="008C767C" w:rsidTr="00F943D8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59,2</w:t>
            </w:r>
          </w:p>
        </w:tc>
      </w:tr>
      <w:tr w:rsidR="008C767C" w:rsidTr="00F943D8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1 453,3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103,9</w:t>
            </w:r>
          </w:p>
        </w:tc>
      </w:tr>
      <w:tr w:rsidR="008C767C" w:rsidTr="00F943D8">
        <w:trPr>
          <w:trHeight w:val="159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101,3</w:t>
            </w:r>
          </w:p>
        </w:tc>
      </w:tr>
      <w:tr w:rsidR="008C767C" w:rsidTr="00F943D8">
        <w:trPr>
          <w:trHeight w:val="1627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 за исключением земельных участков муниципальных бюджетных и авт</w:t>
            </w:r>
            <w:r>
              <w:rPr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i/>
                <w:iCs/>
                <w:color w:val="000000"/>
                <w:sz w:val="20"/>
                <w:szCs w:val="20"/>
              </w:rPr>
              <w:t>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ind w:left="228" w:hanging="22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105,7</w:t>
            </w:r>
          </w:p>
        </w:tc>
      </w:tr>
      <w:tr w:rsidR="008C767C" w:rsidTr="00F943D8">
        <w:trPr>
          <w:trHeight w:val="183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</w:t>
            </w:r>
            <w:r>
              <w:rPr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i/>
                <w:iCs/>
                <w:color w:val="000000"/>
                <w:sz w:val="20"/>
                <w:szCs w:val="20"/>
              </w:rPr>
              <w:t>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8C767C" w:rsidTr="00F943D8">
        <w:trPr>
          <w:trHeight w:val="13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</w:t>
            </w:r>
            <w:r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t>скими поселениям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99,5</w:t>
            </w:r>
          </w:p>
        </w:tc>
      </w:tr>
      <w:tr w:rsidR="008C767C" w:rsidTr="00F943D8">
        <w:trPr>
          <w:trHeight w:val="1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i/>
                <w:iCs/>
                <w:color w:val="000000"/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104,4</w:t>
            </w:r>
          </w:p>
        </w:tc>
      </w:tr>
      <w:tr w:rsidR="008C767C" w:rsidTr="00F943D8">
        <w:trPr>
          <w:trHeight w:val="69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 от компенсации затрат госуда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97,5</w:t>
            </w:r>
          </w:p>
        </w:tc>
      </w:tr>
      <w:tr w:rsidR="008C767C" w:rsidTr="00F943D8">
        <w:trPr>
          <w:trHeight w:val="108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</w:t>
            </w:r>
            <w:r>
              <w:rPr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i/>
                <w:iCs/>
                <w:color w:val="000000"/>
                <w:sz w:val="20"/>
                <w:szCs w:val="20"/>
              </w:rPr>
              <w:t>плуатацией имущества 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97,5</w:t>
            </w:r>
          </w:p>
        </w:tc>
      </w:tr>
      <w:tr w:rsidR="008C767C" w:rsidTr="00F943D8">
        <w:trPr>
          <w:trHeight w:val="52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334,7</w:t>
            </w:r>
          </w:p>
        </w:tc>
      </w:tr>
      <w:tr w:rsidR="008C767C" w:rsidTr="00F943D8">
        <w:trPr>
          <w:trHeight w:val="3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C767C" w:rsidTr="00F943D8">
        <w:trPr>
          <w:trHeight w:val="529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55 751,7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53 630,0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-2 121,7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96,2</w:t>
            </w:r>
          </w:p>
        </w:tc>
      </w:tr>
      <w:tr w:rsidR="008C767C" w:rsidTr="00F943D8">
        <w:trPr>
          <w:trHeight w:val="689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Дотации на выравнивания бюдже</w:t>
            </w:r>
            <w:r>
              <w:rPr>
                <w:i/>
                <w:iCs/>
                <w:color w:val="000000"/>
                <w:sz w:val="22"/>
                <w:szCs w:val="22"/>
              </w:rPr>
              <w:t>т</w:t>
            </w:r>
            <w:r>
              <w:rPr>
                <w:i/>
                <w:iCs/>
                <w:color w:val="000000"/>
                <w:sz w:val="22"/>
                <w:szCs w:val="22"/>
              </w:rPr>
              <w:t>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10 409,1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10 409,1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8C767C" w:rsidTr="00F943D8">
        <w:trPr>
          <w:trHeight w:val="87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бюджетам бюджетной сист</w:t>
            </w: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>
              <w:rPr>
                <w:i/>
                <w:iCs/>
                <w:color w:val="000000"/>
                <w:sz w:val="22"/>
                <w:szCs w:val="22"/>
              </w:rPr>
              <w:t>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-660,0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C767C" w:rsidTr="00F943D8">
        <w:trPr>
          <w:trHeight w:val="84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Субвенции бюджетам бюджетной сист</w:t>
            </w: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мы Российской Федерации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1 798,4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-972,0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</w:tr>
      <w:tr w:rsidR="008C767C" w:rsidTr="00F943D8">
        <w:trPr>
          <w:trHeight w:val="8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Прочие межбюджетные трансферт, передаваемые бюджетам сельских п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>
              <w:rPr>
                <w:i/>
                <w:iCs/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15 934,2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15 444,5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-489,7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96,9</w:t>
            </w:r>
          </w:p>
        </w:tc>
      </w:tr>
      <w:tr w:rsidR="008C767C" w:rsidTr="00F943D8">
        <w:trPr>
          <w:trHeight w:val="8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безвозмездные поступл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26 950,0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26 950,0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8C767C" w:rsidTr="00F943D8">
        <w:trPr>
          <w:trHeight w:val="31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59 146,2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57 559,9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1 586,3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97,3</w:t>
            </w:r>
          </w:p>
        </w:tc>
      </w:tr>
    </w:tbl>
    <w:p w:rsidR="008C767C" w:rsidRPr="000F5552" w:rsidRDefault="008C767C" w:rsidP="008C767C">
      <w:pPr>
        <w:ind w:left="1080"/>
        <w:jc w:val="both"/>
      </w:pPr>
    </w:p>
    <w:p w:rsidR="008C767C" w:rsidRDefault="008C767C" w:rsidP="008C767C">
      <w:pPr>
        <w:spacing w:after="200" w:line="276" w:lineRule="auto"/>
        <w:ind w:left="1080"/>
        <w:jc w:val="both"/>
      </w:pPr>
    </w:p>
    <w:p w:rsidR="008C767C" w:rsidRPr="006B3EFE" w:rsidRDefault="008C767C" w:rsidP="008C767C">
      <w:pPr>
        <w:numPr>
          <w:ilvl w:val="0"/>
          <w:numId w:val="1"/>
        </w:numPr>
        <w:spacing w:after="200" w:line="276" w:lineRule="auto"/>
        <w:jc w:val="both"/>
      </w:pPr>
      <w:r w:rsidRPr="006B3EFE">
        <w:t>По расходам в сумме</w:t>
      </w:r>
      <w:r w:rsidRPr="00A0212E">
        <w:rPr>
          <w:b/>
        </w:rPr>
        <w:t xml:space="preserve"> </w:t>
      </w:r>
      <w:r>
        <w:rPr>
          <w:b/>
        </w:rPr>
        <w:t>55 399,5</w:t>
      </w:r>
      <w:r w:rsidRPr="00A0212E">
        <w:rPr>
          <w:b/>
        </w:rPr>
        <w:t xml:space="preserve"> </w:t>
      </w:r>
      <w:r w:rsidRPr="006B3EFE">
        <w:t>тыс. руб</w:t>
      </w:r>
      <w:r>
        <w:t>лей:</w:t>
      </w:r>
    </w:p>
    <w:p w:rsidR="008C767C" w:rsidRDefault="008C767C" w:rsidP="008C767C">
      <w:pPr>
        <w:spacing w:line="360" w:lineRule="auto"/>
        <w:jc w:val="center"/>
        <w:rPr>
          <w:b/>
        </w:rPr>
      </w:pPr>
    </w:p>
    <w:p w:rsidR="008C767C" w:rsidRPr="002F44FE" w:rsidRDefault="008C767C" w:rsidP="008C767C">
      <w:pPr>
        <w:spacing w:line="360" w:lineRule="auto"/>
        <w:jc w:val="center"/>
        <w:rPr>
          <w:b/>
        </w:rPr>
      </w:pPr>
      <w:r w:rsidRPr="002F44FE">
        <w:rPr>
          <w:b/>
        </w:rPr>
        <w:t>Исполнение бюджета поселения по расходам за</w:t>
      </w:r>
      <w:r>
        <w:rPr>
          <w:b/>
        </w:rPr>
        <w:t xml:space="preserve"> 9 месяцев </w:t>
      </w:r>
      <w:r w:rsidRPr="002F44FE">
        <w:rPr>
          <w:b/>
        </w:rPr>
        <w:t>201</w:t>
      </w:r>
      <w:r>
        <w:rPr>
          <w:b/>
        </w:rPr>
        <w:t>6</w:t>
      </w:r>
      <w:r w:rsidRPr="002F44FE">
        <w:rPr>
          <w:b/>
        </w:rPr>
        <w:t xml:space="preserve"> год</w:t>
      </w:r>
      <w:r>
        <w:rPr>
          <w:b/>
        </w:rPr>
        <w:t>а</w:t>
      </w:r>
    </w:p>
    <w:p w:rsidR="008C767C" w:rsidRDefault="008C767C" w:rsidP="008C767C">
      <w:pPr>
        <w:spacing w:line="360" w:lineRule="auto"/>
        <w:jc w:val="center"/>
        <w:rPr>
          <w:b/>
        </w:rPr>
      </w:pPr>
      <w:r w:rsidRPr="002F44FE">
        <w:rPr>
          <w:b/>
        </w:rPr>
        <w:t>по разделам и подразделам классификации расходов РФ</w:t>
      </w:r>
    </w:p>
    <w:tbl>
      <w:tblPr>
        <w:tblW w:w="10170" w:type="dxa"/>
        <w:tblInd w:w="93" w:type="dxa"/>
        <w:tblLook w:val="0000"/>
      </w:tblPr>
      <w:tblGrid>
        <w:gridCol w:w="3127"/>
        <w:gridCol w:w="761"/>
        <w:gridCol w:w="1122"/>
        <w:gridCol w:w="1264"/>
        <w:gridCol w:w="1304"/>
        <w:gridCol w:w="1211"/>
        <w:gridCol w:w="1381"/>
      </w:tblGrid>
      <w:tr w:rsidR="008C767C" w:rsidTr="00F943D8">
        <w:trPr>
          <w:trHeight w:val="690"/>
        </w:trPr>
        <w:tc>
          <w:tcPr>
            <w:tcW w:w="3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9 месяцев 2016 года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 9 месяцев 2016 года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Отклонение кассового исполнения от плана 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767C" w:rsidRDefault="008C767C" w:rsidP="00F943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исполнения к плану</w:t>
            </w:r>
          </w:p>
        </w:tc>
      </w:tr>
      <w:tr w:rsidR="008C767C" w:rsidTr="00F943D8">
        <w:trPr>
          <w:trHeight w:val="255"/>
        </w:trPr>
        <w:tc>
          <w:tcPr>
            <w:tcW w:w="3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767C" w:rsidTr="00F943D8">
        <w:trPr>
          <w:trHeight w:val="270"/>
        </w:trPr>
        <w:tc>
          <w:tcPr>
            <w:tcW w:w="3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67C" w:rsidRDefault="008C767C" w:rsidP="00F943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767C" w:rsidRPr="00BE7743" w:rsidTr="00F943D8">
        <w:trPr>
          <w:trHeight w:val="27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E7743">
              <w:rPr>
                <w:b/>
                <w:bCs/>
                <w:i/>
                <w:color w:val="000000"/>
                <w:sz w:val="18"/>
                <w:szCs w:val="18"/>
              </w:rPr>
              <w:t>01.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E7743">
              <w:rPr>
                <w:b/>
                <w:bCs/>
                <w:i/>
                <w:color w:val="000000"/>
                <w:sz w:val="18"/>
                <w:szCs w:val="18"/>
              </w:rPr>
              <w:t>00.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41 619,4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39 577,2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-2 042,2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95,09</w:t>
            </w:r>
          </w:p>
        </w:tc>
      </w:tr>
      <w:tr w:rsidR="008C767C" w:rsidRPr="00BE7743" w:rsidTr="00F943D8">
        <w:trPr>
          <w:trHeight w:val="8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Функционирование высшего должностного лица муниципал</w:t>
            </w:r>
            <w:r w:rsidRPr="00BE7743">
              <w:rPr>
                <w:i/>
                <w:color w:val="000000"/>
                <w:sz w:val="20"/>
                <w:szCs w:val="20"/>
              </w:rPr>
              <w:t>ь</w:t>
            </w:r>
            <w:r w:rsidRPr="00BE7743">
              <w:rPr>
                <w:i/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2 046,4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99,97</w:t>
            </w:r>
          </w:p>
        </w:tc>
      </w:tr>
      <w:tr w:rsidR="008C767C" w:rsidRPr="00BE7743" w:rsidTr="00F943D8">
        <w:trPr>
          <w:trHeight w:val="78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Функционирование представ</w:t>
            </w:r>
            <w:r w:rsidRPr="00BE7743">
              <w:rPr>
                <w:i/>
                <w:color w:val="000000"/>
                <w:sz w:val="20"/>
                <w:szCs w:val="20"/>
              </w:rPr>
              <w:t>и</w:t>
            </w:r>
            <w:r w:rsidRPr="00BE7743">
              <w:rPr>
                <w:i/>
                <w:color w:val="000000"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1 794,4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1 788,9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99,69</w:t>
            </w:r>
          </w:p>
        </w:tc>
      </w:tr>
      <w:tr w:rsidR="008C767C" w:rsidRPr="00BE7743" w:rsidTr="00F943D8">
        <w:trPr>
          <w:trHeight w:val="585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Функционирование местных а</w:t>
            </w:r>
            <w:r w:rsidRPr="00BE7743">
              <w:rPr>
                <w:i/>
                <w:color w:val="000000"/>
                <w:sz w:val="20"/>
                <w:szCs w:val="20"/>
              </w:rPr>
              <w:t>д</w:t>
            </w:r>
            <w:r w:rsidRPr="00BE7743">
              <w:rPr>
                <w:i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9 440,6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9 435,2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99,94</w:t>
            </w:r>
          </w:p>
        </w:tc>
      </w:tr>
      <w:tr w:rsidR="008C767C" w:rsidRPr="00BE7743" w:rsidTr="00F943D8">
        <w:trPr>
          <w:trHeight w:val="60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both"/>
              <w:rPr>
                <w:i/>
                <w:sz w:val="20"/>
                <w:szCs w:val="20"/>
              </w:rPr>
            </w:pPr>
            <w:r w:rsidRPr="00BE7743">
              <w:rPr>
                <w:i/>
                <w:sz w:val="20"/>
                <w:szCs w:val="20"/>
              </w:rPr>
              <w:t>Обеспечение деятельности орг</w:t>
            </w:r>
            <w:r w:rsidRPr="00BE7743">
              <w:rPr>
                <w:i/>
                <w:sz w:val="20"/>
                <w:szCs w:val="20"/>
              </w:rPr>
              <w:t>а</w:t>
            </w:r>
            <w:r w:rsidRPr="00BE7743">
              <w:rPr>
                <w:i/>
                <w:sz w:val="20"/>
                <w:szCs w:val="20"/>
              </w:rPr>
              <w:t>нов финансового надзора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sz w:val="20"/>
                <w:szCs w:val="20"/>
              </w:rPr>
            </w:pPr>
            <w:r w:rsidRPr="00BE7743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sz w:val="20"/>
                <w:szCs w:val="20"/>
              </w:rPr>
            </w:pPr>
            <w:r w:rsidRPr="00BE7743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100,00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both"/>
              <w:rPr>
                <w:i/>
                <w:sz w:val="20"/>
                <w:szCs w:val="20"/>
              </w:rPr>
            </w:pPr>
            <w:r w:rsidRPr="00BE7743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sz w:val="20"/>
                <w:szCs w:val="20"/>
              </w:rPr>
            </w:pPr>
            <w:r w:rsidRPr="00BE7743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sz w:val="20"/>
                <w:szCs w:val="20"/>
              </w:rPr>
            </w:pPr>
            <w:r w:rsidRPr="00BE774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Другие общегосударственные в</w:t>
            </w:r>
            <w:r w:rsidRPr="00BE7743">
              <w:rPr>
                <w:i/>
                <w:color w:val="000000"/>
                <w:sz w:val="20"/>
                <w:szCs w:val="20"/>
              </w:rPr>
              <w:t>о</w:t>
            </w:r>
            <w:r w:rsidRPr="00BE7743">
              <w:rPr>
                <w:i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27 990,1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25 959,4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-2 030,7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92,74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Мобилизационная и вневойск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-43,2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68,19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Национальная безопасность и правоохранительная деятельн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1 543,9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1 484,1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-59,8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96,13</w:t>
            </w:r>
          </w:p>
        </w:tc>
      </w:tr>
      <w:tr w:rsidR="008C767C" w:rsidRPr="00BE7743" w:rsidTr="00F943D8">
        <w:trPr>
          <w:trHeight w:val="75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</w:t>
            </w:r>
            <w:r w:rsidRPr="00BE7743">
              <w:rPr>
                <w:i/>
                <w:color w:val="000000"/>
                <w:sz w:val="20"/>
                <w:szCs w:val="20"/>
              </w:rPr>
              <w:t>д</w:t>
            </w:r>
            <w:r w:rsidRPr="00BE7743">
              <w:rPr>
                <w:i/>
                <w:color w:val="000000"/>
                <w:sz w:val="20"/>
                <w:szCs w:val="20"/>
              </w:rPr>
              <w:t>ного и техногенного характера, гражданская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-26,6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87,21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Обеспечение пожарной безопа</w:t>
            </w:r>
            <w:r w:rsidRPr="00BE7743">
              <w:rPr>
                <w:i/>
                <w:color w:val="000000"/>
                <w:sz w:val="20"/>
                <w:szCs w:val="20"/>
              </w:rPr>
              <w:t>с</w:t>
            </w:r>
            <w:r w:rsidRPr="00BE7743">
              <w:rPr>
                <w:i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1 335,9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1 302,7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-33,2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97,51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Другие вопросы в области национальной безопасности и правоо</w:t>
            </w:r>
            <w:r w:rsidRPr="00BE7743">
              <w:rPr>
                <w:i/>
                <w:color w:val="000000"/>
                <w:sz w:val="20"/>
                <w:szCs w:val="20"/>
              </w:rPr>
              <w:t>х</w:t>
            </w:r>
            <w:r w:rsidRPr="00BE7743">
              <w:rPr>
                <w:i/>
                <w:color w:val="000000"/>
                <w:sz w:val="20"/>
                <w:szCs w:val="20"/>
              </w:rPr>
              <w:t>ранительной деятельности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04.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00.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664,1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664,1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100,00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Другие воросы в области доро</w:t>
            </w:r>
            <w:r w:rsidRPr="00BE7743">
              <w:rPr>
                <w:i/>
                <w:color w:val="000000"/>
                <w:sz w:val="20"/>
                <w:szCs w:val="20"/>
              </w:rPr>
              <w:t>ж</w:t>
            </w:r>
            <w:r w:rsidRPr="00BE7743">
              <w:rPr>
                <w:i/>
                <w:color w:val="000000"/>
                <w:sz w:val="20"/>
                <w:szCs w:val="20"/>
              </w:rPr>
              <w:t>ного хозяйства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Жилищно-коммунальное хозя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й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05.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00.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10 247,5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9 795,2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-452,3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color w:val="000000"/>
                <w:sz w:val="22"/>
                <w:szCs w:val="22"/>
              </w:rPr>
              <w:t>95,59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462,1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99,85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7 033,4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6 808,2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-225,2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96,80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2 752,0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2 525,6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-226,4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91,77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Молодежная политика и озд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color w:val="000000"/>
                <w:sz w:val="22"/>
                <w:szCs w:val="22"/>
              </w:rPr>
              <w:t>100,00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5 278,2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3 600,5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-1 677,7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color w:val="000000"/>
                <w:sz w:val="22"/>
                <w:szCs w:val="22"/>
              </w:rPr>
              <w:t>68,21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2 644,5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2 644,0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99,98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Социальное обеспечение насел</w:t>
            </w:r>
            <w:r w:rsidRPr="00BE7743">
              <w:rPr>
                <w:i/>
                <w:color w:val="000000"/>
                <w:sz w:val="20"/>
                <w:szCs w:val="20"/>
              </w:rPr>
              <w:t>е</w:t>
            </w:r>
            <w:r w:rsidRPr="00BE7743">
              <w:rPr>
                <w:i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2 633,7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956,5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-1 677,2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E7743">
              <w:rPr>
                <w:i/>
                <w:color w:val="000000"/>
                <w:sz w:val="22"/>
                <w:szCs w:val="22"/>
              </w:rPr>
              <w:t>36,32</w:t>
            </w:r>
          </w:p>
        </w:tc>
      </w:tr>
      <w:tr w:rsidR="008C767C" w:rsidRPr="00BE7743" w:rsidTr="00F943D8">
        <w:trPr>
          <w:trHeight w:val="51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E7743">
              <w:rPr>
                <w:b/>
                <w:bCs/>
                <w:i/>
                <w:color w:val="000000"/>
                <w:sz w:val="20"/>
                <w:szCs w:val="20"/>
              </w:rPr>
              <w:t>100,00</w:t>
            </w:r>
          </w:p>
        </w:tc>
      </w:tr>
      <w:tr w:rsidR="008C767C" w:rsidRPr="00BE7743" w:rsidTr="00F943D8">
        <w:trPr>
          <w:trHeight w:val="315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rPr>
                <w:i/>
                <w:color w:val="000000"/>
                <w:sz w:val="20"/>
                <w:szCs w:val="20"/>
              </w:rPr>
            </w:pPr>
            <w:r w:rsidRPr="00BE774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iCs/>
                <w:color w:val="000000"/>
                <w:sz w:val="22"/>
                <w:szCs w:val="22"/>
              </w:rPr>
              <w:t>59 674,7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iCs/>
                <w:color w:val="000000"/>
                <w:sz w:val="22"/>
                <w:szCs w:val="22"/>
              </w:rPr>
              <w:t>55 399,5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iCs/>
                <w:color w:val="000000"/>
                <w:sz w:val="22"/>
                <w:szCs w:val="22"/>
              </w:rPr>
              <w:t>-4 275,2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67C" w:rsidRPr="00BE7743" w:rsidRDefault="008C767C" w:rsidP="00F943D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7743">
              <w:rPr>
                <w:b/>
                <w:bCs/>
                <w:i/>
                <w:iCs/>
                <w:color w:val="000000"/>
                <w:sz w:val="22"/>
                <w:szCs w:val="22"/>
              </w:rPr>
              <w:t>92,84</w:t>
            </w:r>
          </w:p>
        </w:tc>
      </w:tr>
    </w:tbl>
    <w:p w:rsidR="008C767C" w:rsidRPr="00BE7743" w:rsidRDefault="008C767C" w:rsidP="008C767C">
      <w:pPr>
        <w:spacing w:after="200" w:line="276" w:lineRule="auto"/>
        <w:jc w:val="right"/>
        <w:rPr>
          <w:i/>
        </w:rPr>
      </w:pPr>
    </w:p>
    <w:p w:rsidR="00B75E98" w:rsidRDefault="008C767C"/>
    <w:sectPr w:rsidR="00B75E98" w:rsidSect="00AF18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38A"/>
    <w:multiLevelType w:val="hybridMultilevel"/>
    <w:tmpl w:val="442833FE"/>
    <w:lvl w:ilvl="0" w:tplc="06289C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412A99"/>
    <w:multiLevelType w:val="hybridMultilevel"/>
    <w:tmpl w:val="E758DA1A"/>
    <w:lvl w:ilvl="0" w:tplc="B4FC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A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E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2C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C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02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223D22"/>
    <w:multiLevelType w:val="hybridMultilevel"/>
    <w:tmpl w:val="EB8CED90"/>
    <w:lvl w:ilvl="0" w:tplc="33663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02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E8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C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6F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6F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A2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9774B1"/>
    <w:multiLevelType w:val="hybridMultilevel"/>
    <w:tmpl w:val="3A9E273E"/>
    <w:lvl w:ilvl="0" w:tplc="ACA4B7E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767C"/>
    <w:rsid w:val="00030C21"/>
    <w:rsid w:val="00292DC3"/>
    <w:rsid w:val="004D1DA0"/>
    <w:rsid w:val="008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8C7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semiHidden/>
    <w:rsid w:val="008C7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C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C767C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nsPlusNormal">
    <w:name w:val="ConsPlusNormal"/>
    <w:rsid w:val="008C7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0"/>
      <c:perspective val="0"/>
    </c:view3D>
    <c:plotArea>
      <c:layout>
        <c:manualLayout>
          <c:layoutTarget val="inner"/>
          <c:xMode val="edge"/>
          <c:yMode val="edge"/>
          <c:x val="0.23323170731707321"/>
          <c:y val="0.39240506329113933"/>
          <c:w val="0.49542682926829296"/>
          <c:h val="0.324050632911392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68292682926829285"/>
                  <c:y val="0.25316455696202533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1"/>
              <c:layout>
                <c:manualLayout>
                  <c:xMode val="edge"/>
                  <c:yMode val="edge"/>
                  <c:x val="0.41920731707317072"/>
                  <c:y val="0.74177215189873413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2"/>
              <c:layout>
                <c:manualLayout>
                  <c:xMode val="edge"/>
                  <c:yMode val="edge"/>
                  <c:x val="2.5914634146341452E-2"/>
                  <c:y val="0.46835443037974706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3"/>
              <c:layout>
                <c:manualLayout>
                  <c:xMode val="edge"/>
                  <c:yMode val="edge"/>
                  <c:x val="0.23780487804878042"/>
                  <c:y val="0.30886075949367098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4"/>
              <c:layout>
                <c:manualLayout>
                  <c:xMode val="edge"/>
                  <c:yMode val="edge"/>
                  <c:x val="0.43445121951219512"/>
                  <c:y val="0.20253164556962031"/>
                </c:manualLayout>
              </c:layout>
              <c:tx>
                <c:rich>
                  <a:bodyPr/>
                  <a:lstStyle/>
                  <a:p>
                    <a:pPr>
                      <a:defRPr sz="114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Официально безработные граждане 3%</a:t>
                    </a:r>
                  </a:p>
                </c:rich>
              </c:tx>
              <c:spPr>
                <a:noFill/>
                <a:ln w="25341">
                  <a:noFill/>
                </a:ln>
              </c:spPr>
              <c:dLblPos val="bestFit"/>
            </c:dLbl>
            <c:numFmt formatCode="0%" sourceLinked="0"/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1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eparator> </c:separator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27.3</c:v>
                </c:pt>
                <c:pt idx="1">
                  <c:v>28.5</c:v>
                </c:pt>
                <c:pt idx="2">
                  <c:v>13.5</c:v>
                </c:pt>
                <c:pt idx="3">
                  <c:v>14.7</c:v>
                </c:pt>
                <c:pt idx="4">
                  <c:v>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4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4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7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4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4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  <c:spPr>
        <a:solidFill>
          <a:srgbClr val="C0C0C0"/>
        </a:solidFill>
        <a:ln w="12670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4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4439</Words>
  <Characters>25305</Characters>
  <Application>Microsoft Office Word</Application>
  <DocSecurity>0</DocSecurity>
  <Lines>210</Lines>
  <Paragraphs>59</Paragraphs>
  <ScaleCrop>false</ScaleCrop>
  <Company>Microsoft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2016-11-17T07:57:00Z</dcterms:created>
  <dcterms:modified xsi:type="dcterms:W3CDTF">2016-11-17T07:57:00Z</dcterms:modified>
</cp:coreProperties>
</file>